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6101" w:h="1389" w:hRule="exact" w:hSpace="181" w:vSpace="181" w:wrap="around" w:vAnchor="page" w:hAnchor="page" w:x="4778" w:y="880" w:anchorLock="1"/>
        <w:widowControl w:val="0"/>
        <w:spacing w:line="240" w:lineRule="auto"/>
        <w:rPr>
          <w:rFonts w:ascii="黑体" w:hAnsi="黑体" w:eastAsia="黑体"/>
          <w:color w:val="auto"/>
        </w:rPr>
      </w:pPr>
      <w:bookmarkStart w:id="17" w:name="_GoBack"/>
      <w:r>
        <w:rPr>
          <w:rFonts w:ascii="黑体" w:hAnsi="黑体" w:eastAsia="黑体"/>
          <w:b w:val="0"/>
          <w:bCs/>
          <w:color w:val="auto"/>
          <w:w w:val="100"/>
          <w:kern w:val="21"/>
        </w:rPr>
        <w:t>Q/</w:t>
      </w:r>
      <w:r>
        <w:rPr>
          <w:rFonts w:hint="eastAsia" w:ascii="黑体" w:hAnsi="黑体" w:eastAsia="黑体"/>
          <w:b w:val="0"/>
          <w:bCs/>
          <w:color w:val="auto"/>
          <w:w w:val="100"/>
          <w:kern w:val="21"/>
        </w:rPr>
        <w:t>YL</w:t>
      </w:r>
    </w:p>
    <w:p>
      <w:pPr>
        <w:pStyle w:val="11"/>
        <w:framePr w:hSpace="181" w:vSpace="181" w:wrap="around" w:vAnchor="page" w:hAnchor="page" w:x="1419" w:y="2286" w:anchorLock="1"/>
        <w:widowControl w:val="0"/>
        <w:spacing w:beforeLines="50" w:afterLines="50" w:line="240" w:lineRule="auto"/>
        <w:rPr>
          <w:rFonts w:ascii="Times New Roman" w:hAnsi="Times New Roman"/>
          <w:color w:val="auto"/>
          <w:spacing w:val="0"/>
          <w:kern w:val="21"/>
        </w:rPr>
      </w:pPr>
      <w:bookmarkStart w:id="0" w:name="OLE_LINK11"/>
      <w:bookmarkStart w:id="1" w:name="OLE_LINK12"/>
      <w:bookmarkStart w:id="2" w:name="OLE_LINK10"/>
      <w:r>
        <w:rPr>
          <w:rFonts w:ascii="Times New Roman" w:hAnsi="Times New Roman"/>
          <w:color w:val="auto"/>
          <w:spacing w:val="0"/>
          <w:kern w:val="21"/>
          <w:sz w:val="52"/>
        </w:rPr>
        <w:t>贵州省食品安全企业标准</w:t>
      </w:r>
      <w:bookmarkEnd w:id="0"/>
    </w:p>
    <w:bookmarkEnd w:id="1"/>
    <w:p>
      <w:pPr>
        <w:pStyle w:val="14"/>
        <w:framePr w:w="9140" w:h="1242" w:hRule="exact" w:hSpace="284" w:wrap="around" w:vAnchor="page" w:hAnchor="page" w:x="1645" w:y="2910" w:anchorLock="1"/>
        <w:rPr>
          <w:rFonts w:ascii="Times New Roman"/>
          <w:color w:val="auto"/>
        </w:rPr>
      </w:pPr>
    </w:p>
    <w:p>
      <w:pPr>
        <w:pStyle w:val="14"/>
        <w:framePr w:w="9140" w:h="1242" w:hRule="exact" w:hSpace="284" w:wrap="around" w:vAnchor="page" w:hAnchor="page" w:x="1645" w:y="2910" w:anchorLock="1"/>
        <w:spacing w:before="0" w:line="240" w:lineRule="auto"/>
        <w:rPr>
          <w:rFonts w:hAnsi="黑体"/>
          <w:color w:val="auto"/>
        </w:rPr>
      </w:pPr>
      <w:r>
        <w:rPr>
          <w:rFonts w:hAnsi="黑体"/>
          <w:color w:val="auto"/>
        </w:rPr>
        <w:pict>
          <v:line id="直线 7" o:spid="_x0000_s1026" o:spt="20" style="position:absolute;left:0pt;margin-left:-9.5pt;margin-top:28pt;height:0.05pt;width:471pt;z-index:251660288;mso-width-relative:page;mso-height-relative:page;" coordsize="21600,21600">
            <v:path arrowok="t"/>
            <v:fill focussize="0,0"/>
            <v:stroke/>
            <v:imagedata o:title=""/>
            <o:lock v:ext="edit"/>
          </v:line>
        </w:pict>
      </w:r>
      <w:r>
        <w:rPr>
          <w:rFonts w:hAnsi="黑体"/>
          <w:color w:val="auto"/>
        </w:rPr>
        <w:t>Q/</w:t>
      </w:r>
      <w:r>
        <w:rPr>
          <w:rFonts w:hint="eastAsia" w:hAnsi="黑体"/>
          <w:color w:val="auto"/>
        </w:rPr>
        <w:t>YL</w:t>
      </w:r>
      <w:r>
        <w:rPr>
          <w:rFonts w:hAnsi="黑体"/>
          <w:color w:val="auto"/>
        </w:rPr>
        <w:t>000</w:t>
      </w:r>
      <w:r>
        <w:rPr>
          <w:rFonts w:hint="eastAsia" w:hAnsi="黑体"/>
          <w:color w:val="auto"/>
        </w:rPr>
        <w:t>3</w:t>
      </w:r>
      <w:r>
        <w:rPr>
          <w:rFonts w:hAnsi="黑体"/>
          <w:color w:val="auto"/>
        </w:rPr>
        <w:t>S—20</w:t>
      </w:r>
      <w:r>
        <w:rPr>
          <w:rFonts w:hint="eastAsia" w:hAnsi="黑体"/>
          <w:color w:val="auto"/>
        </w:rPr>
        <w:t>21</w:t>
      </w:r>
    </w:p>
    <w:p>
      <w:pPr>
        <w:pStyle w:val="14"/>
        <w:framePr w:w="9140" w:h="1242" w:hRule="exact" w:hSpace="284" w:wrap="around" w:vAnchor="page" w:hAnchor="page" w:x="1645" w:y="2910" w:anchorLock="1"/>
        <w:rPr>
          <w:rFonts w:ascii="Times New Roman"/>
          <w:color w:val="auto"/>
        </w:rPr>
      </w:pPr>
    </w:p>
    <w:p>
      <w:pPr>
        <w:pStyle w:val="12"/>
        <w:framePr w:w="9639" w:h="6917" w:hRule="exact" w:wrap="around" w:vAnchor="page" w:hAnchor="page" w:xAlign="center" w:y="6408" w:anchorLock="1"/>
        <w:rPr>
          <w:rFonts w:ascii="Times New Roman"/>
          <w:color w:val="auto"/>
        </w:rPr>
      </w:pPr>
      <w:r>
        <w:rPr>
          <w:rFonts w:hint="eastAsia" w:ascii="Times New Roman"/>
          <w:color w:val="auto"/>
        </w:rPr>
        <w:t>花色挂面</w:t>
      </w:r>
    </w:p>
    <w:bookmarkEnd w:id="2"/>
    <w:p>
      <w:pPr>
        <w:ind w:left="-359" w:leftChars="-171"/>
        <w:jc w:val="distribute"/>
        <w:rPr>
          <w:color w:val="auto"/>
          <w:sz w:val="44"/>
          <w:szCs w:val="44"/>
        </w:rPr>
      </w:pPr>
      <w:bookmarkStart w:id="3" w:name="fm"/>
    </w:p>
    <w:p>
      <w:pPr>
        <w:rPr>
          <w:color w:val="auto"/>
        </w:rPr>
      </w:pPr>
    </w:p>
    <w:p>
      <w:pPr>
        <w:rPr>
          <w:color w:val="auto"/>
        </w:rPr>
      </w:pPr>
    </w:p>
    <w:p>
      <w:pPr>
        <w:rPr>
          <w:color w:val="auto"/>
        </w:rPr>
      </w:pPr>
    </w:p>
    <w:p>
      <w:pPr>
        <w:rPr>
          <w:color w:val="auto"/>
        </w:rPr>
      </w:pPr>
    </w:p>
    <w:p>
      <w:pPr>
        <w:spacing w:line="440" w:lineRule="exact"/>
        <w:rPr>
          <w:rFonts w:eastAsia="方正黑体简体"/>
          <w:b/>
          <w:color w:val="auto"/>
          <w:szCs w:val="21"/>
        </w:rPr>
      </w:pPr>
    </w:p>
    <w:p>
      <w:pPr>
        <w:spacing w:line="440" w:lineRule="exact"/>
        <w:rPr>
          <w:rFonts w:ascii="黑体" w:hAnsi="黑体" w:eastAsia="黑体"/>
          <w:bCs/>
          <w:color w:val="auto"/>
          <w:sz w:val="28"/>
          <w:szCs w:val="28"/>
        </w:rPr>
      </w:pPr>
      <w:r>
        <w:rPr>
          <w:rFonts w:ascii="黑体" w:hAnsi="黑体" w:eastAsia="黑体"/>
          <w:bCs/>
          <w:color w:val="auto"/>
          <w:sz w:val="28"/>
          <w:szCs w:val="28"/>
        </w:rPr>
        <w:t>20</w:t>
      </w:r>
      <w:r>
        <w:rPr>
          <w:rFonts w:hint="eastAsia" w:ascii="黑体" w:hAnsi="黑体" w:eastAsia="黑体"/>
          <w:bCs/>
          <w:color w:val="auto"/>
          <w:sz w:val="28"/>
          <w:szCs w:val="28"/>
        </w:rPr>
        <w:t>21</w:t>
      </w:r>
      <w:r>
        <w:rPr>
          <w:rFonts w:ascii="黑体" w:hAnsi="黑体" w:eastAsia="黑体"/>
          <w:bCs/>
          <w:color w:val="auto"/>
          <w:sz w:val="28"/>
          <w:szCs w:val="28"/>
        </w:rPr>
        <w:t>-</w:t>
      </w:r>
      <w:r>
        <w:rPr>
          <w:rFonts w:hint="eastAsia" w:ascii="黑体" w:hAnsi="黑体" w:eastAsia="黑体"/>
          <w:bCs/>
          <w:color w:val="auto"/>
          <w:sz w:val="28"/>
          <w:szCs w:val="28"/>
        </w:rPr>
        <w:t>01</w:t>
      </w:r>
      <w:r>
        <w:rPr>
          <w:rFonts w:ascii="黑体" w:hAnsi="黑体" w:eastAsia="黑体"/>
          <w:bCs/>
          <w:color w:val="auto"/>
          <w:sz w:val="28"/>
          <w:szCs w:val="28"/>
        </w:rPr>
        <w:t>-</w:t>
      </w:r>
      <w:r>
        <w:rPr>
          <w:rFonts w:hint="eastAsia" w:ascii="黑体" w:hAnsi="黑体" w:eastAsia="黑体"/>
          <w:bCs/>
          <w:color w:val="auto"/>
          <w:sz w:val="28"/>
          <w:szCs w:val="28"/>
        </w:rPr>
        <w:t>15</w:t>
      </w:r>
      <w:r>
        <w:rPr>
          <w:rFonts w:ascii="黑体" w:hAnsi="黑体" w:eastAsia="黑体"/>
          <w:bCs/>
          <w:color w:val="auto"/>
          <w:sz w:val="28"/>
          <w:szCs w:val="28"/>
        </w:rPr>
        <w:t>发布                                  20</w:t>
      </w:r>
      <w:r>
        <w:rPr>
          <w:rFonts w:hint="eastAsia" w:ascii="黑体" w:hAnsi="黑体" w:eastAsia="黑体"/>
          <w:bCs/>
          <w:color w:val="auto"/>
          <w:sz w:val="28"/>
          <w:szCs w:val="28"/>
        </w:rPr>
        <w:t>21</w:t>
      </w:r>
      <w:r>
        <w:rPr>
          <w:rFonts w:ascii="黑体" w:hAnsi="黑体" w:eastAsia="黑体"/>
          <w:bCs/>
          <w:color w:val="auto"/>
          <w:sz w:val="28"/>
          <w:szCs w:val="28"/>
        </w:rPr>
        <w:t>–</w:t>
      </w:r>
      <w:r>
        <w:rPr>
          <w:rFonts w:hint="eastAsia" w:ascii="黑体" w:hAnsi="黑体" w:eastAsia="黑体"/>
          <w:bCs/>
          <w:color w:val="auto"/>
          <w:sz w:val="28"/>
          <w:szCs w:val="28"/>
        </w:rPr>
        <w:t>01</w:t>
      </w:r>
      <w:r>
        <w:rPr>
          <w:rFonts w:ascii="黑体" w:hAnsi="黑体" w:eastAsia="黑体"/>
          <w:bCs/>
          <w:color w:val="auto"/>
          <w:sz w:val="28"/>
          <w:szCs w:val="28"/>
        </w:rPr>
        <w:t>-</w:t>
      </w:r>
      <w:r>
        <w:rPr>
          <w:rFonts w:hint="eastAsia" w:ascii="黑体" w:hAnsi="黑体" w:eastAsia="黑体"/>
          <w:bCs/>
          <w:color w:val="auto"/>
          <w:sz w:val="28"/>
          <w:szCs w:val="28"/>
        </w:rPr>
        <w:t>15</w:t>
      </w:r>
      <w:r>
        <w:rPr>
          <w:rFonts w:ascii="黑体" w:hAnsi="黑体" w:eastAsia="黑体"/>
          <w:bCs/>
          <w:color w:val="auto"/>
          <w:sz w:val="28"/>
          <w:szCs w:val="28"/>
        </w:rPr>
        <w:t>实施</w:t>
      </w:r>
    </w:p>
    <w:p>
      <w:pPr>
        <w:spacing w:line="180" w:lineRule="exact"/>
        <w:rPr>
          <w:rFonts w:eastAsia="方正黑体简体"/>
          <w:b/>
          <w:color w:val="auto"/>
          <w:sz w:val="24"/>
          <w:u w:val="single"/>
        </w:rPr>
      </w:pPr>
      <w:bookmarkStart w:id="4" w:name="OLE_LINK9"/>
      <w:bookmarkStart w:id="5" w:name="OLE_LINK16"/>
      <w:r>
        <w:rPr>
          <w:color w:val="auto"/>
          <w:sz w:val="24"/>
        </w:rPr>
        <w:pict>
          <v:line id="直线 8" o:spid="_x0000_s1027" o:spt="20" style="position:absolute;left:0pt;margin-left:1.05pt;margin-top:3.55pt;height:0.05pt;width:455.25pt;z-index:251661312;mso-width-relative:page;mso-height-relative:page;" coordsize="21600,21600">
            <v:path arrowok="t"/>
            <v:fill focussize="0,0"/>
            <v:stroke/>
            <v:imagedata o:title=""/>
            <o:lock v:ext="edit"/>
          </v:line>
        </w:pict>
      </w:r>
      <w:bookmarkEnd w:id="4"/>
    </w:p>
    <w:bookmarkEnd w:id="5"/>
    <w:p>
      <w:pPr>
        <w:spacing w:line="700" w:lineRule="exact"/>
        <w:jc w:val="center"/>
        <w:rPr>
          <w:color w:val="auto"/>
        </w:rPr>
      </w:pPr>
      <w:bookmarkStart w:id="6" w:name="OLE_LINK15"/>
      <w:r>
        <w:rPr>
          <w:rFonts w:hint="eastAsia" w:hAnsi="黑体" w:eastAsia="黑体"/>
          <w:bCs/>
          <w:color w:val="auto"/>
          <w:sz w:val="36"/>
          <w:szCs w:val="36"/>
        </w:rPr>
        <w:t>威宁县亚龙食品有限责任公司</w:t>
      </w:r>
      <w:r>
        <w:rPr>
          <w:rFonts w:hint="eastAsia" w:hAnsi="黑体" w:eastAsia="黑体"/>
          <w:bCs/>
          <w:color w:val="auto"/>
          <w:sz w:val="28"/>
          <w:szCs w:val="28"/>
        </w:rPr>
        <w:t xml:space="preserve"> </w:t>
      </w:r>
      <w:r>
        <w:rPr>
          <w:rFonts w:hAnsi="黑体" w:eastAsia="黑体"/>
          <w:bCs/>
          <w:color w:val="auto"/>
          <w:sz w:val="28"/>
          <w:szCs w:val="28"/>
        </w:rPr>
        <w:t>发布</w:t>
      </w:r>
      <w:bookmarkEnd w:id="6"/>
    </w:p>
    <w:bookmarkEnd w:id="3"/>
    <w:p>
      <w:pPr>
        <w:spacing w:beforeLines="150" w:afterLines="150"/>
        <w:jc w:val="center"/>
        <w:rPr>
          <w:rFonts w:eastAsia="黑体"/>
          <w:color w:val="auto"/>
          <w:spacing w:val="60"/>
          <w:sz w:val="28"/>
          <w:szCs w:val="28"/>
        </w:rPr>
      </w:pPr>
      <w:r>
        <w:rPr>
          <w:rFonts w:eastAsia="黑体"/>
          <w:color w:val="auto"/>
          <w:spacing w:val="60"/>
          <w:sz w:val="28"/>
          <w:szCs w:val="28"/>
        </w:rPr>
        <w:t>前  言</w:t>
      </w:r>
    </w:p>
    <w:p>
      <w:pPr>
        <w:ind w:firstLine="420" w:firstLineChars="200"/>
        <w:rPr>
          <w:color w:val="auto"/>
          <w:szCs w:val="21"/>
        </w:rPr>
      </w:pPr>
      <w:r>
        <w:rPr>
          <w:rFonts w:hint="eastAsia" w:ascii="宋体" w:hAnsi="宋体" w:cs="宋体"/>
          <w:color w:val="auto"/>
        </w:rPr>
        <w:t>本文件依据</w:t>
      </w:r>
      <w:r>
        <w:rPr>
          <w:rFonts w:ascii="宋体" w:hAnsi="宋体" w:cs="宋体"/>
          <w:color w:val="auto"/>
        </w:rPr>
        <w:t>GB/T 1.1—2020《标准化工作导则 第1部分：标准化文件的结构和起草规则》的规定起草</w:t>
      </w:r>
      <w:r>
        <w:rPr>
          <w:rFonts w:hAnsi="宋体"/>
          <w:color w:val="auto"/>
          <w:szCs w:val="21"/>
        </w:rPr>
        <w:t>；</w:t>
      </w:r>
    </w:p>
    <w:p>
      <w:pPr>
        <w:ind w:firstLine="420" w:firstLineChars="200"/>
        <w:rPr>
          <w:color w:val="auto"/>
          <w:szCs w:val="21"/>
        </w:rPr>
      </w:pPr>
      <w:r>
        <w:rPr>
          <w:rFonts w:hAnsi="宋体"/>
          <w:color w:val="auto"/>
          <w:szCs w:val="21"/>
        </w:rPr>
        <w:t>本</w:t>
      </w:r>
      <w:r>
        <w:rPr>
          <w:rFonts w:hint="eastAsia" w:hAnsi="宋体"/>
          <w:color w:val="auto"/>
          <w:szCs w:val="21"/>
        </w:rPr>
        <w:t>文件</w:t>
      </w:r>
      <w:r>
        <w:rPr>
          <w:rFonts w:hAnsi="宋体"/>
          <w:color w:val="auto"/>
          <w:szCs w:val="21"/>
        </w:rPr>
        <w:t>由</w:t>
      </w:r>
      <w:bookmarkStart w:id="7" w:name="OLE_LINK2"/>
      <w:r>
        <w:rPr>
          <w:rFonts w:hint="eastAsia"/>
          <w:color w:val="auto"/>
        </w:rPr>
        <w:t>威宁县亚龙食品有限责任公司</w:t>
      </w:r>
      <w:r>
        <w:rPr>
          <w:rFonts w:hAnsi="宋体"/>
          <w:color w:val="auto"/>
          <w:szCs w:val="21"/>
        </w:rPr>
        <w:t>提出</w:t>
      </w:r>
      <w:bookmarkEnd w:id="7"/>
      <w:r>
        <w:rPr>
          <w:rFonts w:hAnsi="宋体"/>
          <w:color w:val="auto"/>
          <w:szCs w:val="21"/>
        </w:rPr>
        <w:t>；</w:t>
      </w:r>
    </w:p>
    <w:p>
      <w:pPr>
        <w:ind w:firstLine="420" w:firstLineChars="200"/>
        <w:rPr>
          <w:color w:val="auto"/>
          <w:szCs w:val="21"/>
        </w:rPr>
      </w:pPr>
      <w:r>
        <w:rPr>
          <w:rFonts w:hAnsi="宋体"/>
          <w:color w:val="auto"/>
          <w:szCs w:val="21"/>
        </w:rPr>
        <w:t>本</w:t>
      </w:r>
      <w:r>
        <w:rPr>
          <w:rFonts w:hint="eastAsia" w:hAnsi="宋体"/>
          <w:color w:val="auto"/>
          <w:szCs w:val="21"/>
        </w:rPr>
        <w:t>文件</w:t>
      </w:r>
      <w:r>
        <w:rPr>
          <w:rFonts w:hAnsi="宋体"/>
          <w:color w:val="auto"/>
          <w:szCs w:val="21"/>
        </w:rPr>
        <w:t>起草单位：</w:t>
      </w:r>
      <w:r>
        <w:rPr>
          <w:rFonts w:hint="eastAsia"/>
          <w:color w:val="auto"/>
        </w:rPr>
        <w:t>威宁县亚龙食品有限责任公司</w:t>
      </w:r>
      <w:r>
        <w:rPr>
          <w:rFonts w:hAnsi="宋体"/>
          <w:color w:val="auto"/>
          <w:szCs w:val="21"/>
        </w:rPr>
        <w:t>；</w:t>
      </w:r>
    </w:p>
    <w:p>
      <w:pPr>
        <w:ind w:firstLine="420" w:firstLineChars="200"/>
        <w:rPr>
          <w:color w:val="auto"/>
          <w:szCs w:val="21"/>
        </w:rPr>
        <w:sectPr>
          <w:headerReference r:id="rId3" w:type="default"/>
          <w:footerReference r:id="rId4" w:type="default"/>
          <w:pgSz w:w="11906" w:h="16838"/>
          <w:pgMar w:top="1418" w:right="1418" w:bottom="1418" w:left="1418" w:header="1134" w:footer="1134" w:gutter="0"/>
          <w:pgNumType w:fmt="upperRoman" w:start="1"/>
          <w:cols w:space="720" w:num="1"/>
          <w:formProt w:val="0"/>
          <w:docGrid w:type="lines" w:linePitch="312" w:charSpace="0"/>
        </w:sectPr>
      </w:pPr>
      <w:r>
        <w:rPr>
          <w:rFonts w:hAnsi="宋体"/>
          <w:color w:val="auto"/>
          <w:szCs w:val="21"/>
        </w:rPr>
        <w:t>本</w:t>
      </w:r>
      <w:r>
        <w:rPr>
          <w:rFonts w:hint="eastAsia" w:hAnsi="宋体"/>
          <w:color w:val="auto"/>
          <w:szCs w:val="21"/>
        </w:rPr>
        <w:t>文件</w:t>
      </w:r>
      <w:r>
        <w:rPr>
          <w:rFonts w:hAnsi="宋体"/>
          <w:color w:val="auto"/>
          <w:szCs w:val="21"/>
        </w:rPr>
        <w:t>主要起草人：</w:t>
      </w:r>
      <w:r>
        <w:rPr>
          <w:rFonts w:hint="eastAsia" w:hAnsi="宋体"/>
          <w:color w:val="auto"/>
          <w:szCs w:val="21"/>
        </w:rPr>
        <w:t>龙梅、 胡开成、李东丽、曹虎灵、熊齐荣、田茂强</w:t>
      </w:r>
      <w:r>
        <w:rPr>
          <w:rFonts w:hAnsi="宋体"/>
          <w:color w:val="auto"/>
          <w:szCs w:val="21"/>
        </w:rPr>
        <w:t>。</w:t>
      </w:r>
    </w:p>
    <w:p>
      <w:pPr>
        <w:spacing w:beforeLines="150" w:afterLines="150"/>
        <w:jc w:val="center"/>
        <w:rPr>
          <w:rFonts w:eastAsia="黑体"/>
          <w:color w:val="auto"/>
          <w:sz w:val="10"/>
          <w:szCs w:val="10"/>
        </w:rPr>
      </w:pPr>
      <w:r>
        <w:rPr>
          <w:rFonts w:hint="eastAsia" w:eastAsia="黑体"/>
          <w:color w:val="auto"/>
          <w:sz w:val="32"/>
          <w:szCs w:val="32"/>
        </w:rPr>
        <w:t>花色挂面</w:t>
      </w:r>
    </w:p>
    <w:p>
      <w:pPr>
        <w:spacing w:beforeLines="100" w:afterLines="100"/>
        <w:ind w:firstLine="105" w:firstLineChars="50"/>
        <w:rPr>
          <w:rFonts w:ascii="黑体" w:hAnsi="黑体" w:eastAsia="黑体"/>
          <w:color w:val="auto"/>
          <w:szCs w:val="21"/>
        </w:rPr>
      </w:pPr>
      <w:r>
        <w:rPr>
          <w:rFonts w:ascii="黑体" w:hAnsi="黑体" w:eastAsia="黑体"/>
          <w:color w:val="auto"/>
          <w:szCs w:val="21"/>
        </w:rPr>
        <w:t>1  范围</w:t>
      </w:r>
    </w:p>
    <w:p>
      <w:pPr>
        <w:ind w:firstLine="420" w:firstLineChars="200"/>
        <w:rPr>
          <w:color w:val="auto"/>
          <w:szCs w:val="21"/>
        </w:rPr>
      </w:pPr>
      <w:bookmarkStart w:id="8" w:name="OLE_LINK5"/>
      <w:r>
        <w:rPr>
          <w:rFonts w:hAnsi="宋体"/>
          <w:color w:val="auto"/>
          <w:szCs w:val="21"/>
        </w:rPr>
        <w:t>本</w:t>
      </w:r>
      <w:r>
        <w:rPr>
          <w:rFonts w:hint="eastAsia" w:hAnsi="宋体"/>
          <w:color w:val="auto"/>
          <w:szCs w:val="21"/>
        </w:rPr>
        <w:t>文件</w:t>
      </w:r>
      <w:r>
        <w:rPr>
          <w:rFonts w:hAnsi="宋体"/>
          <w:color w:val="auto"/>
          <w:szCs w:val="21"/>
        </w:rPr>
        <w:t>规定了</w:t>
      </w:r>
      <w:r>
        <w:rPr>
          <w:rFonts w:hint="eastAsia" w:asciiTheme="minorEastAsia" w:hAnsiTheme="minorEastAsia" w:eastAsiaTheme="minorEastAsia"/>
          <w:color w:val="auto"/>
        </w:rPr>
        <w:t>花色挂面</w:t>
      </w:r>
      <w:r>
        <w:rPr>
          <w:rFonts w:hAnsi="宋体"/>
          <w:color w:val="auto"/>
          <w:szCs w:val="21"/>
        </w:rPr>
        <w:t>的</w:t>
      </w:r>
      <w:r>
        <w:rPr>
          <w:rFonts w:hAnsi="宋体"/>
          <w:color w:val="auto"/>
          <w:szCs w:val="21"/>
        </w:rPr>
        <w:t>要求</w:t>
      </w:r>
      <w:r>
        <w:rPr>
          <w:rFonts w:hint="eastAsia" w:hAnsi="宋体"/>
          <w:color w:val="auto"/>
          <w:szCs w:val="21"/>
        </w:rPr>
        <w:t>（含检验</w:t>
      </w:r>
      <w:r>
        <w:rPr>
          <w:rFonts w:hAnsi="宋体"/>
          <w:color w:val="auto"/>
          <w:szCs w:val="21"/>
        </w:rPr>
        <w:t>方法</w:t>
      </w:r>
      <w:r>
        <w:rPr>
          <w:rFonts w:hint="eastAsia" w:hAnsi="宋体"/>
          <w:color w:val="auto"/>
          <w:szCs w:val="21"/>
        </w:rPr>
        <w:t>）</w:t>
      </w:r>
      <w:r>
        <w:rPr>
          <w:rFonts w:hAnsi="宋体"/>
          <w:color w:val="auto"/>
          <w:szCs w:val="21"/>
        </w:rPr>
        <w:t>、</w:t>
      </w:r>
      <w:r>
        <w:rPr>
          <w:rFonts w:hAnsi="宋体"/>
          <w:color w:val="auto"/>
          <w:szCs w:val="21"/>
        </w:rPr>
        <w:t>检验规则、标志、</w:t>
      </w:r>
      <w:r>
        <w:rPr>
          <w:rFonts w:hAnsi="宋体"/>
          <w:color w:val="auto"/>
          <w:szCs w:val="21"/>
        </w:rPr>
        <w:t>标签</w:t>
      </w:r>
      <w:r>
        <w:rPr>
          <w:rFonts w:hint="eastAsia" w:hAnsi="宋体"/>
          <w:color w:val="auto"/>
          <w:szCs w:val="21"/>
        </w:rPr>
        <w:t>、</w:t>
      </w:r>
      <w:r>
        <w:rPr>
          <w:rFonts w:hAnsi="宋体"/>
          <w:color w:val="auto"/>
          <w:szCs w:val="21"/>
        </w:rPr>
        <w:t>包装、运输和贮存。</w:t>
      </w:r>
    </w:p>
    <w:p>
      <w:pPr>
        <w:pStyle w:val="24"/>
        <w:tabs>
          <w:tab w:val="clear" w:pos="1440"/>
        </w:tabs>
        <w:spacing w:beforeLines="0" w:afterLines="0" w:line="340" w:lineRule="exact"/>
        <w:ind w:left="0"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本文件适用于本公司以小麦粉或荞麦粉为主要原料，</w:t>
      </w:r>
      <w:r>
        <w:rPr>
          <w:rFonts w:hint="eastAsia" w:asciiTheme="minorEastAsia" w:hAnsiTheme="minorEastAsia" w:eastAsiaTheme="minorEastAsia"/>
          <w:color w:val="auto"/>
        </w:rPr>
        <w:t>添加一种或多种蔬菜或蔬菜制品、谷物粉类制品等辅料和食品添加剂碳酸钠</w:t>
      </w:r>
      <w:r>
        <w:rPr>
          <w:rFonts w:hint="eastAsia" w:asciiTheme="minorEastAsia" w:hAnsiTheme="minorEastAsia" w:eastAsiaTheme="minorEastAsia"/>
          <w:color w:val="auto"/>
        </w:rPr>
        <w:t>，经和面、成型、干燥、切断、包装制成的具有特殊色、香、味的花色挂面。</w:t>
      </w:r>
    </w:p>
    <w:p>
      <w:pPr>
        <w:pStyle w:val="24"/>
        <w:numPr>
          <w:ilvl w:val="0"/>
          <w:numId w:val="1"/>
        </w:numPr>
        <w:spacing w:beforeLines="100" w:afterLines="100"/>
        <w:ind w:left="357" w:hanging="357"/>
        <w:rPr>
          <w:color w:val="auto"/>
        </w:rPr>
      </w:pPr>
      <w:r>
        <w:rPr>
          <w:rFonts w:hint="eastAsia"/>
          <w:color w:val="auto"/>
        </w:rPr>
        <w:t>规范性引用文件</w:t>
      </w:r>
    </w:p>
    <w:p>
      <w:pPr>
        <w:ind w:firstLine="420" w:firstLineChars="200"/>
        <w:rPr>
          <w:rFonts w:hint="eastAsia"/>
          <w:color w:val="auto"/>
          <w:szCs w:val="21"/>
        </w:rPr>
      </w:pPr>
      <w:r>
        <w:rPr>
          <w:rFonts w:hint="eastAsia"/>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ind w:left="0" w:firstLine="405"/>
        <w:rPr>
          <w:rFonts w:ascii="宋体" w:hAnsi="宋体"/>
          <w:color w:val="auto"/>
        </w:rPr>
      </w:pPr>
      <w:r>
        <w:rPr>
          <w:rFonts w:hint="eastAsia" w:ascii="宋体" w:hAnsi="宋体"/>
          <w:color w:val="auto"/>
        </w:rPr>
        <w:t>GB/T 191     包装储运图示标志</w:t>
      </w:r>
    </w:p>
    <w:p>
      <w:pPr>
        <w:pStyle w:val="19"/>
        <w:ind w:left="0" w:firstLine="405"/>
        <w:rPr>
          <w:rFonts w:ascii="宋体" w:hAnsi="宋体"/>
          <w:color w:val="auto"/>
        </w:rPr>
      </w:pPr>
      <w:r>
        <w:rPr>
          <w:rFonts w:hint="eastAsia" w:ascii="宋体" w:hAnsi="宋体"/>
          <w:color w:val="auto"/>
        </w:rPr>
        <w:t>GB/T 1355    小麦粉</w:t>
      </w:r>
    </w:p>
    <w:p>
      <w:pPr>
        <w:pStyle w:val="19"/>
        <w:ind w:left="0" w:firstLine="405"/>
        <w:rPr>
          <w:rFonts w:ascii="宋体" w:hAnsi="宋体"/>
          <w:color w:val="auto"/>
        </w:rPr>
      </w:pPr>
      <w:r>
        <w:rPr>
          <w:rFonts w:hint="eastAsia" w:ascii="宋体" w:hAnsi="宋体"/>
          <w:color w:val="auto"/>
        </w:rPr>
        <w:t>GB 1886.1    食品安全国家标准 食品添加剂 碳酸钠</w:t>
      </w:r>
    </w:p>
    <w:p>
      <w:pPr>
        <w:pStyle w:val="19"/>
        <w:ind w:left="0" w:firstLine="405"/>
        <w:rPr>
          <w:rFonts w:ascii="宋体" w:hAnsi="宋体"/>
          <w:color w:val="auto"/>
        </w:rPr>
      </w:pPr>
      <w:r>
        <w:rPr>
          <w:rFonts w:hint="eastAsia" w:ascii="宋体" w:hAnsi="宋体"/>
          <w:color w:val="auto"/>
        </w:rPr>
        <w:t>GB 2749      食品安全国家标准 蛋与蛋制品</w:t>
      </w:r>
    </w:p>
    <w:p>
      <w:pPr>
        <w:pStyle w:val="19"/>
        <w:ind w:left="0" w:firstLine="0"/>
        <w:rPr>
          <w:rFonts w:ascii="宋体" w:hAnsi="宋体"/>
          <w:color w:val="auto"/>
        </w:rPr>
      </w:pPr>
      <w:r>
        <w:rPr>
          <w:rFonts w:hint="eastAsia" w:ascii="宋体" w:hAnsi="宋体"/>
          <w:color w:val="auto"/>
        </w:rPr>
        <w:t xml:space="preserve">    GB 2760      食品安全国家标准 食品添加剂使用卫生标准</w:t>
      </w:r>
    </w:p>
    <w:p>
      <w:pPr>
        <w:snapToGrid w:val="0"/>
        <w:ind w:firstLine="419"/>
        <w:rPr>
          <w:rFonts w:ascii="宋体" w:hAnsi="宋体"/>
          <w:color w:val="auto"/>
        </w:rPr>
      </w:pPr>
      <w:r>
        <w:rPr>
          <w:rFonts w:hint="eastAsia" w:ascii="宋体" w:hAnsi="宋体"/>
          <w:color w:val="auto"/>
        </w:rPr>
        <w:t>GB 5009.3    食品安全国家标准 食品中水分的测定</w:t>
      </w:r>
    </w:p>
    <w:p>
      <w:pPr>
        <w:snapToGrid w:val="0"/>
        <w:ind w:firstLine="419"/>
        <w:rPr>
          <w:rFonts w:ascii="宋体" w:hAnsi="宋体"/>
          <w:color w:val="auto"/>
        </w:rPr>
      </w:pPr>
      <w:r>
        <w:rPr>
          <w:rFonts w:hint="eastAsia" w:ascii="宋体" w:hAnsi="宋体"/>
          <w:color w:val="auto"/>
        </w:rPr>
        <w:t>GB 5009.12   食品安全国家标准 食品中铅的测定</w:t>
      </w:r>
    </w:p>
    <w:p>
      <w:pPr>
        <w:snapToGrid w:val="0"/>
        <w:ind w:firstLine="419"/>
        <w:rPr>
          <w:rFonts w:ascii="宋体" w:hAnsi="宋体"/>
          <w:color w:val="auto"/>
        </w:rPr>
      </w:pPr>
      <w:r>
        <w:rPr>
          <w:rFonts w:hint="eastAsia" w:ascii="宋体" w:hAnsi="宋体"/>
          <w:color w:val="auto"/>
        </w:rPr>
        <w:t>GB 5009.22   食品安全国家标准 食品中黄曲霉毒素B族和G族的测定</w:t>
      </w:r>
    </w:p>
    <w:p>
      <w:pPr>
        <w:snapToGrid w:val="0"/>
        <w:ind w:firstLine="419"/>
        <w:rPr>
          <w:rFonts w:ascii="宋体" w:hAnsi="宋体"/>
          <w:color w:val="auto"/>
        </w:rPr>
      </w:pPr>
      <w:r>
        <w:rPr>
          <w:rFonts w:hint="eastAsia" w:ascii="宋体" w:hAnsi="宋体"/>
          <w:color w:val="auto"/>
        </w:rPr>
        <w:t>GB 5009.239  食品安全国家标准 食品酸度的测定</w:t>
      </w:r>
    </w:p>
    <w:p>
      <w:pPr>
        <w:snapToGrid w:val="0"/>
        <w:ind w:firstLine="419"/>
        <w:rPr>
          <w:rFonts w:ascii="宋体" w:hAnsi="宋体"/>
          <w:color w:val="auto"/>
        </w:rPr>
      </w:pPr>
      <w:r>
        <w:rPr>
          <w:rFonts w:hint="eastAsia" w:ascii="宋体" w:hAnsi="宋体"/>
          <w:color w:val="auto"/>
        </w:rPr>
        <w:t>GB 5749      生活饮用水卫生标准</w:t>
      </w:r>
    </w:p>
    <w:p>
      <w:pPr>
        <w:snapToGrid w:val="0"/>
        <w:ind w:firstLine="419"/>
        <w:rPr>
          <w:rFonts w:ascii="宋体" w:hAnsi="宋体"/>
          <w:color w:val="auto"/>
        </w:rPr>
      </w:pPr>
      <w:r>
        <w:rPr>
          <w:rFonts w:hint="eastAsia" w:ascii="宋体" w:hAnsi="宋体"/>
          <w:color w:val="auto"/>
        </w:rPr>
        <w:t>GB 7718      食品安全国家标准 预包装食品标签通则</w:t>
      </w:r>
    </w:p>
    <w:p>
      <w:pPr>
        <w:snapToGrid w:val="0"/>
        <w:ind w:firstLine="419"/>
        <w:rPr>
          <w:rFonts w:ascii="宋体" w:hAnsi="宋体"/>
          <w:color w:val="auto"/>
        </w:rPr>
      </w:pPr>
      <w:r>
        <w:rPr>
          <w:rFonts w:hint="eastAsia" w:ascii="宋体" w:hAnsi="宋体"/>
          <w:color w:val="auto"/>
        </w:rPr>
        <w:t>GB/T 10462   绿豆</w:t>
      </w:r>
    </w:p>
    <w:p>
      <w:pPr>
        <w:snapToGrid w:val="0"/>
        <w:ind w:firstLine="419"/>
        <w:rPr>
          <w:rFonts w:ascii="宋体" w:hAnsi="宋体"/>
          <w:color w:val="auto"/>
        </w:rPr>
      </w:pPr>
      <w:r>
        <w:rPr>
          <w:rFonts w:hint="eastAsia" w:ascii="宋体" w:hAnsi="宋体"/>
          <w:color w:val="auto"/>
        </w:rPr>
        <w:t>GB/T 10463   玉米粉</w:t>
      </w:r>
    </w:p>
    <w:p>
      <w:pPr>
        <w:snapToGrid w:val="0"/>
        <w:ind w:firstLine="419"/>
        <w:rPr>
          <w:rFonts w:ascii="宋体" w:hAnsi="宋体"/>
          <w:color w:val="auto"/>
        </w:rPr>
      </w:pPr>
      <w:r>
        <w:rPr>
          <w:rFonts w:hint="eastAsia" w:ascii="宋体" w:hAnsi="宋体"/>
          <w:color w:val="auto"/>
        </w:rPr>
        <w:t>GB 14881     食品安全国家标准 食品生产通用卫生规范</w:t>
      </w:r>
    </w:p>
    <w:p>
      <w:pPr>
        <w:snapToGrid w:val="0"/>
        <w:ind w:firstLine="419"/>
        <w:rPr>
          <w:rFonts w:ascii="宋体" w:hAnsi="宋体"/>
          <w:color w:val="auto"/>
        </w:rPr>
      </w:pPr>
      <w:r>
        <w:rPr>
          <w:rFonts w:hint="eastAsia" w:ascii="宋体" w:hAnsi="宋体"/>
          <w:color w:val="auto"/>
        </w:rPr>
        <w:t>GB 28050     食品安全国家标准预包装食品营养标签通则</w:t>
      </w:r>
    </w:p>
    <w:p>
      <w:pPr>
        <w:snapToGrid w:val="0"/>
        <w:ind w:firstLine="419"/>
        <w:rPr>
          <w:rFonts w:ascii="宋体" w:hAnsi="宋体"/>
          <w:color w:val="auto"/>
        </w:rPr>
      </w:pPr>
      <w:r>
        <w:rPr>
          <w:rFonts w:hint="eastAsia" w:ascii="宋体" w:hAnsi="宋体"/>
          <w:color w:val="auto"/>
        </w:rPr>
        <w:t>NY/T 493     胡萝卜</w:t>
      </w:r>
    </w:p>
    <w:p>
      <w:pPr>
        <w:snapToGrid w:val="0"/>
        <w:ind w:firstLine="419"/>
        <w:rPr>
          <w:rFonts w:ascii="宋体" w:hAnsi="宋体"/>
          <w:color w:val="auto"/>
        </w:rPr>
      </w:pPr>
      <w:r>
        <w:rPr>
          <w:rFonts w:hint="eastAsia" w:ascii="宋体" w:hAnsi="宋体"/>
          <w:color w:val="auto"/>
        </w:rPr>
        <w:t>NY/T 894     绿色食品 荞麦及荞麦粉</w:t>
      </w:r>
    </w:p>
    <w:p>
      <w:pPr>
        <w:snapToGrid w:val="0"/>
        <w:ind w:firstLine="419"/>
        <w:rPr>
          <w:rFonts w:ascii="宋体" w:hAnsi="宋体"/>
          <w:color w:val="auto"/>
        </w:rPr>
      </w:pPr>
      <w:r>
        <w:rPr>
          <w:rFonts w:hint="eastAsia" w:ascii="宋体" w:hAnsi="宋体"/>
          <w:color w:val="auto"/>
        </w:rPr>
        <w:t>NY/T 964     菠菜</w:t>
      </w:r>
    </w:p>
    <w:p>
      <w:pPr>
        <w:snapToGrid w:val="0"/>
        <w:ind w:firstLine="419"/>
        <w:rPr>
          <w:rFonts w:ascii="宋体" w:hAnsi="宋体"/>
          <w:color w:val="auto"/>
        </w:rPr>
      </w:pPr>
      <w:r>
        <w:rPr>
          <w:rFonts w:hint="eastAsia" w:ascii="宋体" w:hAnsi="宋体"/>
          <w:color w:val="auto"/>
        </w:rPr>
        <w:t>LS/T 3212    挂面</w:t>
      </w:r>
    </w:p>
    <w:p>
      <w:pPr>
        <w:snapToGrid w:val="0"/>
        <w:ind w:firstLine="419"/>
        <w:rPr>
          <w:rFonts w:ascii="宋体" w:hAnsi="宋体"/>
          <w:color w:val="auto"/>
        </w:rPr>
      </w:pPr>
      <w:r>
        <w:rPr>
          <w:rFonts w:hint="eastAsia" w:ascii="宋体" w:hAnsi="宋体"/>
          <w:color w:val="auto"/>
        </w:rPr>
        <w:t>GH/T 1013    香菇</w:t>
      </w:r>
    </w:p>
    <w:p>
      <w:pPr>
        <w:pStyle w:val="19"/>
        <w:ind w:left="0" w:firstLine="0"/>
        <w:rPr>
          <w:rFonts w:ascii="宋体" w:hAnsi="宋体"/>
          <w:color w:val="auto"/>
        </w:rPr>
      </w:pPr>
      <w:r>
        <w:rPr>
          <w:rFonts w:hint="eastAsia" w:ascii="宋体" w:hAnsi="宋体"/>
          <w:color w:val="auto"/>
        </w:rPr>
        <w:t xml:space="preserve">    JJF 1070     定量包装商品净含量计量检验规则</w:t>
      </w:r>
    </w:p>
    <w:p>
      <w:pPr>
        <w:pStyle w:val="19"/>
        <w:spacing w:line="340" w:lineRule="exact"/>
        <w:ind w:left="0" w:firstLine="408"/>
        <w:rPr>
          <w:rFonts w:hint="eastAsia" w:ascii="宋体" w:hAnsi="宋体"/>
          <w:color w:val="auto"/>
        </w:rPr>
      </w:pPr>
      <w:r>
        <w:rPr>
          <w:rFonts w:hint="eastAsia" w:ascii="宋体" w:hAnsi="宋体"/>
          <w:color w:val="auto"/>
        </w:rPr>
        <w:t>原国家质量监督检验检疫总局令[2005]第75号《定量包装商品计量监督管理办法》</w:t>
      </w:r>
    </w:p>
    <w:p>
      <w:pPr>
        <w:pStyle w:val="24"/>
        <w:numPr>
          <w:ilvl w:val="0"/>
          <w:numId w:val="1"/>
        </w:numPr>
        <w:spacing w:beforeLines="100" w:afterLines="100"/>
        <w:rPr>
          <w:color w:val="auto"/>
          <w:kern w:val="2"/>
        </w:rPr>
      </w:pPr>
      <w:r>
        <w:rPr>
          <w:rFonts w:hint="eastAsia"/>
          <w:color w:val="auto"/>
          <w:kern w:val="2"/>
        </w:rPr>
        <w:t>要求</w:t>
      </w:r>
    </w:p>
    <w:p>
      <w:pPr>
        <w:pStyle w:val="19"/>
        <w:spacing w:beforeLines="50" w:afterLines="50"/>
        <w:ind w:left="0" w:firstLine="0"/>
        <w:rPr>
          <w:rFonts w:ascii="黑体" w:hAnsi="黑体" w:eastAsia="黑体"/>
          <w:color w:val="auto"/>
        </w:rPr>
      </w:pPr>
      <w:r>
        <w:rPr>
          <w:rFonts w:hint="eastAsia" w:ascii="黑体" w:hAnsi="黑体" w:eastAsia="黑体"/>
          <w:color w:val="auto"/>
        </w:rPr>
        <w:t xml:space="preserve">3.1  </w:t>
      </w:r>
      <w:r>
        <w:rPr>
          <w:rFonts w:hint="eastAsia" w:ascii="黑体" w:hAnsi="黑体" w:eastAsia="黑体"/>
          <w:color w:val="auto"/>
          <w:szCs w:val="20"/>
        </w:rPr>
        <w:t>原辅料要求</w:t>
      </w:r>
    </w:p>
    <w:p>
      <w:pPr>
        <w:pStyle w:val="26"/>
        <w:numPr>
          <w:ilvl w:val="2"/>
          <w:numId w:val="1"/>
        </w:numPr>
        <w:spacing w:beforeLines="50" w:afterLines="50"/>
        <w:ind w:firstLineChars="0"/>
        <w:rPr>
          <w:rFonts w:ascii="黑体" w:hAnsi="黑体" w:eastAsia="黑体" w:cs="黑体"/>
          <w:color w:val="auto"/>
        </w:rPr>
      </w:pPr>
      <w:r>
        <w:rPr>
          <w:rFonts w:hint="eastAsia" w:ascii="黑体" w:hAnsi="黑体" w:eastAsia="黑体" w:cs="黑体"/>
          <w:color w:val="auto"/>
        </w:rPr>
        <w:t>小麦粉</w:t>
      </w:r>
    </w:p>
    <w:p>
      <w:pPr>
        <w:ind w:firstLine="420" w:firstLineChars="200"/>
        <w:rPr>
          <w:rFonts w:ascii="黑体" w:hAnsi="黑体" w:eastAsia="黑体" w:cs="黑体"/>
          <w:color w:val="auto"/>
        </w:rPr>
      </w:pPr>
      <w:r>
        <w:rPr>
          <w:rFonts w:hint="eastAsia" w:ascii="宋体" w:hAnsi="宋体"/>
          <w:color w:val="auto"/>
          <w:kern w:val="0"/>
          <w:szCs w:val="21"/>
        </w:rPr>
        <w:t>应符合GB/T 1355的规定。</w:t>
      </w:r>
    </w:p>
    <w:p>
      <w:pPr>
        <w:spacing w:beforeLines="50" w:afterLines="50"/>
        <w:rPr>
          <w:rFonts w:ascii="黑体" w:hAnsi="黑体" w:eastAsia="黑体" w:cs="黑体"/>
          <w:color w:val="auto"/>
          <w:kern w:val="0"/>
          <w:szCs w:val="20"/>
        </w:rPr>
      </w:pPr>
      <w:r>
        <w:rPr>
          <w:rFonts w:hint="eastAsia" w:ascii="黑体" w:hAnsi="黑体" w:eastAsia="黑体" w:cs="黑体"/>
          <w:color w:val="auto"/>
        </w:rPr>
        <w:t xml:space="preserve">3.1.2  </w:t>
      </w:r>
      <w:r>
        <w:rPr>
          <w:rFonts w:hint="eastAsia" w:ascii="黑体" w:hAnsi="黑体" w:eastAsia="黑体" w:cs="黑体"/>
          <w:color w:val="auto"/>
          <w:kern w:val="0"/>
          <w:szCs w:val="20"/>
        </w:rPr>
        <w:t>生产用水</w:t>
      </w:r>
    </w:p>
    <w:p>
      <w:pPr>
        <w:ind w:firstLine="420" w:firstLineChars="200"/>
        <w:rPr>
          <w:color w:val="auto"/>
        </w:rPr>
      </w:pPr>
      <w:r>
        <w:rPr>
          <w:rFonts w:hint="eastAsia" w:ascii="宋体" w:hAnsi="宋体"/>
          <w:color w:val="auto"/>
          <w:kern w:val="0"/>
          <w:szCs w:val="21"/>
        </w:rPr>
        <w:t>应符合GB 5749的规定。</w:t>
      </w:r>
    </w:p>
    <w:p>
      <w:pPr>
        <w:spacing w:beforeLines="50" w:afterLines="50"/>
        <w:rPr>
          <w:rFonts w:ascii="黑体" w:hAnsi="黑体" w:eastAsia="黑体" w:cs="黑体"/>
          <w:color w:val="auto"/>
          <w:kern w:val="0"/>
          <w:szCs w:val="20"/>
        </w:rPr>
      </w:pPr>
      <w:r>
        <w:rPr>
          <w:rFonts w:hint="eastAsia" w:ascii="黑体" w:hAnsi="黑体" w:eastAsia="黑体" w:cs="黑体"/>
          <w:color w:val="auto"/>
        </w:rPr>
        <w:t xml:space="preserve">3.1.3  </w:t>
      </w:r>
      <w:r>
        <w:rPr>
          <w:rFonts w:hint="eastAsia" w:ascii="黑体" w:hAnsi="黑体" w:eastAsia="黑体" w:cs="黑体"/>
          <w:color w:val="auto"/>
          <w:kern w:val="0"/>
          <w:szCs w:val="20"/>
        </w:rPr>
        <w:t>蔬菜及蔬菜制品</w:t>
      </w:r>
    </w:p>
    <w:p>
      <w:pPr>
        <w:ind w:firstLine="420" w:firstLineChars="200"/>
        <w:rPr>
          <w:color w:val="auto"/>
        </w:rPr>
      </w:pPr>
      <w:r>
        <w:rPr>
          <w:rFonts w:hint="eastAsia" w:ascii="宋体" w:hAnsi="宋体"/>
          <w:color w:val="auto"/>
          <w:kern w:val="0"/>
          <w:szCs w:val="21"/>
        </w:rPr>
        <w:t>应符合NY/T 493、NY/T 964、GH/T 1013等标准及相应标准的规定。</w:t>
      </w:r>
    </w:p>
    <w:p>
      <w:pPr>
        <w:spacing w:beforeLines="50" w:afterLines="50"/>
        <w:rPr>
          <w:rFonts w:ascii="黑体" w:hAnsi="黑体" w:eastAsia="黑体" w:cs="黑体"/>
          <w:color w:val="auto"/>
          <w:kern w:val="0"/>
          <w:szCs w:val="20"/>
        </w:rPr>
      </w:pPr>
      <w:r>
        <w:rPr>
          <w:rFonts w:hint="eastAsia" w:ascii="黑体" w:hAnsi="黑体" w:eastAsia="黑体" w:cs="黑体"/>
          <w:color w:val="auto"/>
        </w:rPr>
        <w:t xml:space="preserve">3.1.4  </w:t>
      </w:r>
      <w:r>
        <w:rPr>
          <w:rFonts w:hint="eastAsia" w:ascii="黑体" w:hAnsi="黑体" w:eastAsia="黑体" w:cs="黑体"/>
          <w:color w:val="auto"/>
          <w:kern w:val="0"/>
          <w:szCs w:val="20"/>
        </w:rPr>
        <w:t>谷物粉类制品</w:t>
      </w:r>
    </w:p>
    <w:p>
      <w:pPr>
        <w:ind w:firstLine="420" w:firstLineChars="200"/>
        <w:rPr>
          <w:color w:val="auto"/>
        </w:rPr>
      </w:pPr>
      <w:r>
        <w:rPr>
          <w:rFonts w:hint="eastAsia" w:ascii="宋体" w:hAnsi="宋体"/>
          <w:color w:val="auto"/>
          <w:kern w:val="0"/>
          <w:szCs w:val="21"/>
        </w:rPr>
        <w:t>应符合GB/T 10462、 GB/T 10463、NY/T 894等标准及相应标准的规定。</w:t>
      </w:r>
    </w:p>
    <w:p>
      <w:pPr>
        <w:spacing w:beforeLines="50" w:afterLines="50"/>
        <w:rPr>
          <w:rFonts w:ascii="黑体" w:hAnsi="黑体" w:eastAsia="黑体" w:cs="黑体"/>
          <w:color w:val="auto"/>
        </w:rPr>
      </w:pPr>
      <w:r>
        <w:rPr>
          <w:rFonts w:hint="eastAsia" w:ascii="黑体" w:hAnsi="黑体" w:eastAsia="黑体" w:cs="黑体"/>
          <w:color w:val="auto"/>
        </w:rPr>
        <w:t>3.1.5  蛋与蛋制品</w:t>
      </w:r>
    </w:p>
    <w:p>
      <w:pPr>
        <w:ind w:firstLine="420" w:firstLineChars="200"/>
        <w:rPr>
          <w:color w:val="auto"/>
        </w:rPr>
      </w:pPr>
      <w:r>
        <w:rPr>
          <w:rFonts w:hint="eastAsia" w:ascii="宋体" w:hAnsi="宋体"/>
          <w:color w:val="auto"/>
          <w:kern w:val="0"/>
          <w:szCs w:val="21"/>
        </w:rPr>
        <w:t xml:space="preserve"> 应符合GB 2749 的规定。</w:t>
      </w:r>
    </w:p>
    <w:p>
      <w:pPr>
        <w:pStyle w:val="26"/>
        <w:numPr>
          <w:ilvl w:val="1"/>
          <w:numId w:val="1"/>
        </w:numPr>
        <w:spacing w:beforeLines="50" w:afterLines="50"/>
        <w:ind w:left="567" w:hanging="567" w:firstLineChars="0"/>
        <w:rPr>
          <w:rFonts w:hint="eastAsia" w:ascii="黑体" w:hAnsi="黑体" w:eastAsia="黑体" w:cs="黑体"/>
          <w:color w:val="auto"/>
        </w:rPr>
      </w:pPr>
      <w:r>
        <w:rPr>
          <w:rFonts w:hint="eastAsia" w:ascii="黑体" w:hAnsi="黑体" w:eastAsia="黑体" w:cs="黑体"/>
          <w:color w:val="auto"/>
        </w:rPr>
        <w:t>食品添加剂</w:t>
      </w:r>
    </w:p>
    <w:p>
      <w:pPr>
        <w:pStyle w:val="19"/>
        <w:ind w:left="0" w:firstLine="0"/>
        <w:rPr>
          <w:rFonts w:ascii="黑体" w:hAnsi="黑体" w:eastAsia="黑体"/>
          <w:color w:val="auto"/>
        </w:rPr>
      </w:pPr>
      <w:r>
        <w:rPr>
          <w:rFonts w:hint="eastAsia" w:ascii="黑体" w:hAnsi="黑体" w:eastAsia="黑体" w:cs="黑体"/>
          <w:color w:val="auto"/>
        </w:rPr>
        <w:t xml:space="preserve">3.2.1  </w:t>
      </w:r>
      <w:r>
        <w:rPr>
          <w:rFonts w:hint="eastAsia" w:ascii="黑体" w:hAnsi="黑体" w:eastAsia="黑体"/>
          <w:color w:val="auto"/>
        </w:rPr>
        <w:t>碳酸钠</w:t>
      </w:r>
    </w:p>
    <w:p>
      <w:pPr>
        <w:spacing w:beforeLines="50" w:afterLines="50"/>
        <w:ind w:firstLine="420" w:firstLineChars="200"/>
        <w:rPr>
          <w:rFonts w:hint="eastAsia" w:ascii="黑体" w:hAnsi="黑体" w:eastAsia="黑体" w:cs="黑体"/>
          <w:color w:val="auto"/>
        </w:rPr>
      </w:pPr>
      <w:r>
        <w:rPr>
          <w:rFonts w:hint="eastAsia" w:ascii="宋体" w:hAnsi="宋体"/>
          <w:color w:val="auto"/>
          <w:kern w:val="0"/>
          <w:szCs w:val="21"/>
        </w:rPr>
        <w:t>应符合</w:t>
      </w:r>
      <w:r>
        <w:rPr>
          <w:rFonts w:hint="eastAsia" w:ascii="宋体" w:hAnsi="宋体"/>
          <w:color w:val="auto"/>
        </w:rPr>
        <w:t>GB 1886.1</w:t>
      </w:r>
      <w:r>
        <w:rPr>
          <w:rFonts w:hint="eastAsia" w:ascii="宋体" w:hAnsi="宋体"/>
          <w:color w:val="auto"/>
          <w:kern w:val="0"/>
          <w:szCs w:val="21"/>
        </w:rPr>
        <w:t>的规定。</w:t>
      </w:r>
    </w:p>
    <w:p>
      <w:pPr>
        <w:spacing w:beforeLines="50" w:afterLines="50"/>
        <w:rPr>
          <w:rFonts w:ascii="黑体" w:hAnsi="黑体" w:eastAsia="黑体" w:cs="黑体"/>
          <w:color w:val="auto"/>
        </w:rPr>
      </w:pPr>
      <w:r>
        <w:rPr>
          <w:rFonts w:hint="eastAsia" w:ascii="黑体" w:hAnsi="黑体" w:eastAsia="黑体" w:cs="黑体"/>
          <w:color w:val="auto"/>
          <w:kern w:val="0"/>
          <w:szCs w:val="20"/>
        </w:rPr>
        <w:t>3.3  感官要求</w:t>
      </w:r>
    </w:p>
    <w:p>
      <w:pPr>
        <w:rPr>
          <w:color w:val="auto"/>
        </w:rPr>
      </w:pPr>
      <w:r>
        <w:rPr>
          <w:rFonts w:hint="eastAsia"/>
          <w:color w:val="auto"/>
        </w:rPr>
        <w:t xml:space="preserve">    应符合表l的规定。</w:t>
      </w:r>
    </w:p>
    <w:p>
      <w:pPr>
        <w:spacing w:beforeLines="50" w:afterLines="50"/>
        <w:jc w:val="center"/>
        <w:rPr>
          <w:rFonts w:eastAsia="黑体"/>
          <w:color w:val="auto"/>
          <w:szCs w:val="21"/>
        </w:rPr>
      </w:pPr>
      <w:r>
        <w:rPr>
          <w:rFonts w:hint="eastAsia" w:ascii="黑体" w:hAnsi="黑体" w:eastAsia="黑体" w:cs="黑体"/>
          <w:color w:val="auto"/>
        </w:rPr>
        <w:t>表1</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493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66" w:type="dxa"/>
            <w:vAlign w:val="center"/>
          </w:tcPr>
          <w:p>
            <w:pPr>
              <w:spacing w:line="320" w:lineRule="exact"/>
              <w:jc w:val="center"/>
              <w:rPr>
                <w:color w:val="auto"/>
                <w:sz w:val="18"/>
                <w:szCs w:val="18"/>
              </w:rPr>
            </w:pPr>
            <w:bookmarkStart w:id="9" w:name="OLE_LINK60" w:colFirst="2" w:colLast="2"/>
            <w:bookmarkStart w:id="10" w:name="OLE_LINK79"/>
            <w:r>
              <w:rPr>
                <w:color w:val="auto"/>
                <w:sz w:val="18"/>
                <w:szCs w:val="18"/>
              </w:rPr>
              <w:t>项    目</w:t>
            </w:r>
          </w:p>
        </w:tc>
        <w:tc>
          <w:tcPr>
            <w:tcW w:w="4937" w:type="dxa"/>
            <w:vAlign w:val="center"/>
          </w:tcPr>
          <w:p>
            <w:pPr>
              <w:spacing w:line="320" w:lineRule="exact"/>
              <w:jc w:val="center"/>
              <w:rPr>
                <w:color w:val="auto"/>
                <w:sz w:val="18"/>
                <w:szCs w:val="18"/>
              </w:rPr>
            </w:pPr>
            <w:r>
              <w:rPr>
                <w:color w:val="auto"/>
                <w:sz w:val="18"/>
                <w:szCs w:val="18"/>
              </w:rPr>
              <w:t>要       求</w:t>
            </w:r>
          </w:p>
        </w:tc>
        <w:tc>
          <w:tcPr>
            <w:tcW w:w="2834" w:type="dxa"/>
            <w:vAlign w:val="center"/>
          </w:tcPr>
          <w:p>
            <w:pPr>
              <w:spacing w:line="320" w:lineRule="exact"/>
              <w:jc w:val="center"/>
              <w:rPr>
                <w:color w:val="auto"/>
                <w:sz w:val="18"/>
                <w:szCs w:val="18"/>
              </w:rPr>
            </w:pPr>
            <w:r>
              <w:rPr>
                <w:rFonts w:hint="eastAsia"/>
                <w:color w:val="auto"/>
                <w:sz w:val="18"/>
                <w:szCs w:val="18"/>
              </w:rPr>
              <w:t>检验</w:t>
            </w:r>
            <w:r>
              <w:rPr>
                <w:color w:val="auto"/>
                <w:sz w:val="18"/>
                <w:szCs w:val="18"/>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66" w:type="dxa"/>
            <w:vAlign w:val="center"/>
          </w:tcPr>
          <w:p>
            <w:pPr>
              <w:spacing w:line="320" w:lineRule="exact"/>
              <w:jc w:val="center"/>
              <w:rPr>
                <w:color w:val="auto"/>
                <w:sz w:val="18"/>
                <w:szCs w:val="18"/>
              </w:rPr>
            </w:pPr>
            <w:r>
              <w:rPr>
                <w:color w:val="auto"/>
                <w:sz w:val="18"/>
                <w:szCs w:val="18"/>
              </w:rPr>
              <w:t>色    泽</w:t>
            </w:r>
          </w:p>
        </w:tc>
        <w:tc>
          <w:tcPr>
            <w:tcW w:w="4937" w:type="dxa"/>
            <w:vAlign w:val="center"/>
          </w:tcPr>
          <w:p>
            <w:pPr>
              <w:spacing w:line="320" w:lineRule="exact"/>
              <w:rPr>
                <w:color w:val="auto"/>
                <w:sz w:val="18"/>
                <w:szCs w:val="18"/>
              </w:rPr>
            </w:pPr>
            <w:r>
              <w:rPr>
                <w:rFonts w:hint="eastAsia"/>
                <w:color w:val="auto"/>
                <w:sz w:val="18"/>
                <w:szCs w:val="18"/>
              </w:rPr>
              <w:t>均匀一致</w:t>
            </w:r>
          </w:p>
        </w:tc>
        <w:tc>
          <w:tcPr>
            <w:tcW w:w="2834" w:type="dxa"/>
            <w:vMerge w:val="restart"/>
            <w:vAlign w:val="center"/>
          </w:tcPr>
          <w:p>
            <w:pPr>
              <w:pStyle w:val="25"/>
              <w:spacing w:line="340" w:lineRule="exact"/>
              <w:jc w:val="center"/>
              <w:rPr>
                <w:rFonts w:ascii="宋体" w:hAnsi="宋体"/>
                <w:color w:val="auto"/>
                <w:sz w:val="18"/>
                <w:szCs w:val="18"/>
              </w:rPr>
            </w:pPr>
            <w:r>
              <w:rPr>
                <w:rFonts w:hint="eastAsia" w:ascii="宋体" w:hAnsi="宋体"/>
                <w:color w:val="auto"/>
                <w:sz w:val="18"/>
                <w:szCs w:val="18"/>
              </w:rPr>
              <w:t>LS/T3212</w:t>
            </w:r>
          </w:p>
        </w:tc>
      </w:tr>
      <w:bookmarkEnd w:id="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66" w:type="dxa"/>
            <w:vAlign w:val="center"/>
          </w:tcPr>
          <w:p>
            <w:pPr>
              <w:spacing w:line="320" w:lineRule="exact"/>
              <w:jc w:val="center"/>
              <w:rPr>
                <w:color w:val="auto"/>
                <w:sz w:val="18"/>
                <w:szCs w:val="18"/>
              </w:rPr>
            </w:pPr>
            <w:r>
              <w:rPr>
                <w:color w:val="auto"/>
                <w:sz w:val="18"/>
                <w:szCs w:val="18"/>
              </w:rPr>
              <w:t>杂    质</w:t>
            </w:r>
          </w:p>
        </w:tc>
        <w:tc>
          <w:tcPr>
            <w:tcW w:w="4937" w:type="dxa"/>
            <w:vAlign w:val="center"/>
          </w:tcPr>
          <w:p>
            <w:pPr>
              <w:spacing w:line="320" w:lineRule="exact"/>
              <w:rPr>
                <w:color w:val="auto"/>
                <w:sz w:val="18"/>
                <w:szCs w:val="18"/>
              </w:rPr>
            </w:pPr>
            <w:r>
              <w:rPr>
                <w:rFonts w:hint="eastAsia"/>
                <w:color w:val="auto"/>
                <w:sz w:val="18"/>
                <w:szCs w:val="18"/>
              </w:rPr>
              <w:t>无正常视力可见外来杂质</w:t>
            </w:r>
          </w:p>
        </w:tc>
        <w:tc>
          <w:tcPr>
            <w:tcW w:w="2834" w:type="dxa"/>
            <w:vMerge w:val="continue"/>
            <w:vAlign w:val="center"/>
          </w:tcPr>
          <w:p>
            <w:pPr>
              <w:spacing w:line="320" w:lineRule="exact"/>
              <w:rPr>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66" w:type="dxa"/>
            <w:vAlign w:val="center"/>
          </w:tcPr>
          <w:p>
            <w:pPr>
              <w:spacing w:line="320" w:lineRule="exact"/>
              <w:jc w:val="center"/>
              <w:rPr>
                <w:color w:val="auto"/>
                <w:sz w:val="18"/>
                <w:szCs w:val="18"/>
              </w:rPr>
            </w:pPr>
            <w:r>
              <w:rPr>
                <w:rFonts w:hint="eastAsia"/>
                <w:color w:val="auto"/>
                <w:sz w:val="18"/>
                <w:szCs w:val="18"/>
              </w:rPr>
              <w:t>气    味</w:t>
            </w:r>
          </w:p>
        </w:tc>
        <w:tc>
          <w:tcPr>
            <w:tcW w:w="4937" w:type="dxa"/>
            <w:vAlign w:val="center"/>
          </w:tcPr>
          <w:p>
            <w:pPr>
              <w:spacing w:line="320" w:lineRule="exact"/>
              <w:rPr>
                <w:color w:val="auto"/>
                <w:sz w:val="18"/>
                <w:szCs w:val="18"/>
              </w:rPr>
            </w:pPr>
            <w:r>
              <w:rPr>
                <w:rFonts w:hint="eastAsia"/>
                <w:color w:val="auto"/>
                <w:sz w:val="18"/>
                <w:szCs w:val="18"/>
              </w:rPr>
              <w:t>无酸味霉味及其他异味</w:t>
            </w:r>
          </w:p>
        </w:tc>
        <w:tc>
          <w:tcPr>
            <w:tcW w:w="2834" w:type="dxa"/>
            <w:vMerge w:val="continue"/>
            <w:vAlign w:val="center"/>
          </w:tcPr>
          <w:p>
            <w:pPr>
              <w:spacing w:line="320" w:lineRule="exact"/>
              <w:rPr>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66" w:type="dxa"/>
            <w:vAlign w:val="center"/>
          </w:tcPr>
          <w:p>
            <w:pPr>
              <w:spacing w:line="320" w:lineRule="exact"/>
              <w:jc w:val="center"/>
              <w:rPr>
                <w:color w:val="auto"/>
                <w:sz w:val="18"/>
                <w:szCs w:val="18"/>
              </w:rPr>
            </w:pPr>
            <w:r>
              <w:rPr>
                <w:rFonts w:hint="eastAsia"/>
                <w:color w:val="auto"/>
                <w:sz w:val="18"/>
                <w:szCs w:val="18"/>
              </w:rPr>
              <w:t xml:space="preserve">口    感 </w:t>
            </w:r>
          </w:p>
        </w:tc>
        <w:tc>
          <w:tcPr>
            <w:tcW w:w="4937" w:type="dxa"/>
            <w:vAlign w:val="center"/>
          </w:tcPr>
          <w:p>
            <w:pPr>
              <w:spacing w:line="320" w:lineRule="exact"/>
              <w:rPr>
                <w:color w:val="auto"/>
                <w:sz w:val="18"/>
                <w:szCs w:val="18"/>
              </w:rPr>
            </w:pPr>
            <w:r>
              <w:rPr>
                <w:rFonts w:hint="eastAsia"/>
                <w:color w:val="auto"/>
                <w:sz w:val="18"/>
                <w:szCs w:val="18"/>
              </w:rPr>
              <w:t>煮熟后口感不粘不牙碜</w:t>
            </w:r>
          </w:p>
        </w:tc>
        <w:tc>
          <w:tcPr>
            <w:tcW w:w="2834" w:type="dxa"/>
            <w:vMerge w:val="continue"/>
            <w:vAlign w:val="center"/>
          </w:tcPr>
          <w:p>
            <w:pPr>
              <w:spacing w:line="320" w:lineRule="exact"/>
              <w:rPr>
                <w:color w:val="auto"/>
                <w:sz w:val="18"/>
                <w:szCs w:val="18"/>
              </w:rPr>
            </w:pPr>
          </w:p>
        </w:tc>
      </w:tr>
      <w:bookmarkEnd w:id="10"/>
    </w:tbl>
    <w:p>
      <w:pPr>
        <w:spacing w:beforeLines="50" w:afterLines="50"/>
        <w:rPr>
          <w:rFonts w:ascii="黑体" w:hAnsi="黑体" w:eastAsia="黑体" w:cs="黑体"/>
          <w:color w:val="auto"/>
        </w:rPr>
      </w:pPr>
      <w:r>
        <w:rPr>
          <w:rFonts w:hint="eastAsia" w:ascii="黑体" w:hAnsi="黑体" w:eastAsia="黑体" w:cs="黑体"/>
          <w:color w:val="auto"/>
        </w:rPr>
        <w:t xml:space="preserve">3.4  </w:t>
      </w:r>
      <w:r>
        <w:rPr>
          <w:rFonts w:hint="eastAsia" w:ascii="黑体" w:hAnsi="黑体" w:eastAsia="黑体" w:cs="黑体"/>
          <w:color w:val="auto"/>
          <w:kern w:val="0"/>
          <w:szCs w:val="20"/>
        </w:rPr>
        <w:t>理化指标</w:t>
      </w:r>
    </w:p>
    <w:p>
      <w:pPr>
        <w:rPr>
          <w:color w:val="auto"/>
        </w:rPr>
      </w:pPr>
      <w:r>
        <w:rPr>
          <w:rFonts w:hint="eastAsia"/>
          <w:color w:val="auto"/>
        </w:rPr>
        <w:t xml:space="preserve">    应符合表2的规定。</w:t>
      </w:r>
    </w:p>
    <w:p>
      <w:pPr>
        <w:spacing w:beforeLines="50" w:afterLines="50"/>
        <w:jc w:val="center"/>
        <w:rPr>
          <w:rFonts w:eastAsia="黑体"/>
          <w:color w:val="auto"/>
          <w:szCs w:val="21"/>
        </w:rPr>
      </w:pPr>
      <w:r>
        <w:rPr>
          <w:rFonts w:hint="eastAsia" w:ascii="黑体" w:hAnsi="黑体" w:eastAsia="黑体" w:cs="黑体"/>
          <w:color w:val="auto"/>
        </w:rPr>
        <w:t>表2</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6"/>
        <w:gridCol w:w="2117"/>
        <w:gridCol w:w="2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16" w:type="dxa"/>
            <w:vAlign w:val="center"/>
          </w:tcPr>
          <w:p>
            <w:pPr>
              <w:spacing w:line="320" w:lineRule="exact"/>
              <w:jc w:val="center"/>
              <w:rPr>
                <w:color w:val="auto"/>
                <w:sz w:val="18"/>
                <w:szCs w:val="18"/>
              </w:rPr>
            </w:pPr>
            <w:bookmarkStart w:id="11" w:name="OLE_LINK82"/>
            <w:bookmarkStart w:id="12" w:name="OLE_LINK62" w:colFirst="2" w:colLast="2"/>
            <w:r>
              <w:rPr>
                <w:rFonts w:hAnsi="宋体"/>
                <w:color w:val="auto"/>
                <w:sz w:val="18"/>
                <w:szCs w:val="18"/>
              </w:rPr>
              <w:t>项目</w:t>
            </w:r>
          </w:p>
        </w:tc>
        <w:tc>
          <w:tcPr>
            <w:tcW w:w="2117" w:type="dxa"/>
            <w:vAlign w:val="center"/>
          </w:tcPr>
          <w:p>
            <w:pPr>
              <w:spacing w:line="320" w:lineRule="exact"/>
              <w:jc w:val="center"/>
              <w:rPr>
                <w:color w:val="auto"/>
                <w:sz w:val="18"/>
                <w:szCs w:val="18"/>
              </w:rPr>
            </w:pPr>
            <w:r>
              <w:rPr>
                <w:rFonts w:hAnsi="宋体"/>
                <w:color w:val="auto"/>
                <w:sz w:val="18"/>
                <w:szCs w:val="18"/>
              </w:rPr>
              <w:t>指标</w:t>
            </w:r>
          </w:p>
        </w:tc>
        <w:tc>
          <w:tcPr>
            <w:tcW w:w="2932" w:type="dxa"/>
            <w:vAlign w:val="center"/>
          </w:tcPr>
          <w:p>
            <w:pPr>
              <w:spacing w:line="320" w:lineRule="exact"/>
              <w:jc w:val="center"/>
              <w:rPr>
                <w:color w:val="auto"/>
                <w:sz w:val="18"/>
                <w:szCs w:val="18"/>
              </w:rPr>
            </w:pPr>
            <w:r>
              <w:rPr>
                <w:rFonts w:hint="eastAsia" w:hAnsi="宋体"/>
                <w:color w:val="auto"/>
                <w:sz w:val="18"/>
                <w:szCs w:val="18"/>
              </w:rPr>
              <w:t>检验</w:t>
            </w:r>
            <w:r>
              <w:rPr>
                <w:rFonts w:hAnsi="宋体"/>
                <w:color w:val="auto"/>
                <w:sz w:val="18"/>
                <w:szCs w:val="18"/>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16" w:type="dxa"/>
            <w:vAlign w:val="center"/>
          </w:tcPr>
          <w:p>
            <w:pPr>
              <w:rPr>
                <w:rFonts w:ascii="宋体" w:hAnsi="宋体" w:cs="宋体"/>
                <w:color w:val="auto"/>
                <w:sz w:val="18"/>
                <w:szCs w:val="18"/>
              </w:rPr>
            </w:pPr>
            <w:r>
              <w:rPr>
                <w:rFonts w:hint="eastAsia" w:ascii="宋体" w:hAnsi="宋体" w:cs="宋体"/>
                <w:color w:val="auto"/>
                <w:sz w:val="18"/>
                <w:szCs w:val="18"/>
              </w:rPr>
              <w:t>水分含量%</w:t>
            </w:r>
          </w:p>
        </w:tc>
        <w:tc>
          <w:tcPr>
            <w:tcW w:w="2117" w:type="dxa"/>
            <w:vAlign w:val="center"/>
          </w:tcPr>
          <w:p>
            <w:pPr>
              <w:jc w:val="center"/>
              <w:rPr>
                <w:rFonts w:ascii="宋体" w:hAnsi="宋体" w:cs="宋体"/>
                <w:color w:val="auto"/>
                <w:sz w:val="18"/>
                <w:szCs w:val="18"/>
              </w:rPr>
            </w:pPr>
            <w:r>
              <w:rPr>
                <w:rFonts w:hint="eastAsia" w:ascii="宋体" w:hAnsi="宋体" w:cs="宋体"/>
                <w:color w:val="auto"/>
                <w:sz w:val="18"/>
                <w:szCs w:val="18"/>
              </w:rPr>
              <w:t>≤14.5</w:t>
            </w:r>
          </w:p>
        </w:tc>
        <w:tc>
          <w:tcPr>
            <w:tcW w:w="2932" w:type="dxa"/>
            <w:vAlign w:val="center"/>
          </w:tcPr>
          <w:p>
            <w:pPr>
              <w:spacing w:line="312" w:lineRule="auto"/>
              <w:jc w:val="center"/>
              <w:rPr>
                <w:rFonts w:ascii="宋体" w:hAnsi="宋体"/>
                <w:color w:val="auto"/>
                <w:sz w:val="18"/>
                <w:szCs w:val="18"/>
              </w:rPr>
            </w:pPr>
            <w:r>
              <w:rPr>
                <w:rFonts w:hint="eastAsia" w:ascii="宋体" w:hAnsi="宋体"/>
                <w:color w:val="auto"/>
                <w:sz w:val="18"/>
                <w:szCs w:val="18"/>
              </w:rPr>
              <w:t>GB 5009.3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16" w:type="dxa"/>
            <w:vAlign w:val="center"/>
          </w:tcPr>
          <w:p>
            <w:pPr>
              <w:rPr>
                <w:rFonts w:ascii="宋体" w:hAnsi="宋体" w:cs="宋体"/>
                <w:color w:val="auto"/>
                <w:sz w:val="18"/>
                <w:szCs w:val="18"/>
              </w:rPr>
            </w:pPr>
            <w:r>
              <w:rPr>
                <w:rFonts w:hint="eastAsia" w:ascii="宋体" w:hAnsi="宋体" w:cs="宋体"/>
                <w:color w:val="auto"/>
                <w:sz w:val="18"/>
                <w:szCs w:val="18"/>
              </w:rPr>
              <w:t>酸度/</w:t>
            </w:r>
            <w:r>
              <w:rPr>
                <w:rFonts w:hint="eastAsia" w:ascii="宋体" w:hAnsi="宋体" w:cs="宋体"/>
                <w:color w:val="auto"/>
                <w:sz w:val="18"/>
                <w:szCs w:val="18"/>
              </w:rPr>
              <w:t>（°T</w:t>
            </w:r>
            <w:r>
              <w:rPr>
                <w:rFonts w:ascii="宋体" w:hAnsi="宋体" w:cs="宋体"/>
                <w:color w:val="auto"/>
                <w:sz w:val="18"/>
                <w:szCs w:val="18"/>
              </w:rPr>
              <w:t>）</w:t>
            </w:r>
          </w:p>
        </w:tc>
        <w:tc>
          <w:tcPr>
            <w:tcW w:w="2117" w:type="dxa"/>
            <w:vAlign w:val="center"/>
          </w:tcPr>
          <w:p>
            <w:pPr>
              <w:jc w:val="center"/>
              <w:rPr>
                <w:rFonts w:ascii="宋体" w:hAnsi="宋体" w:cs="宋体"/>
                <w:color w:val="auto"/>
                <w:sz w:val="18"/>
                <w:szCs w:val="18"/>
              </w:rPr>
            </w:pPr>
            <w:r>
              <w:rPr>
                <w:rFonts w:hint="eastAsia" w:ascii="宋体" w:hAnsi="宋体" w:cs="宋体"/>
                <w:color w:val="auto"/>
                <w:sz w:val="18"/>
                <w:szCs w:val="18"/>
              </w:rPr>
              <w:t>≤4.0</w:t>
            </w:r>
          </w:p>
        </w:tc>
        <w:tc>
          <w:tcPr>
            <w:tcW w:w="2932" w:type="dxa"/>
            <w:vAlign w:val="center"/>
          </w:tcPr>
          <w:p>
            <w:pPr>
              <w:pStyle w:val="8"/>
              <w:spacing w:line="320" w:lineRule="exact"/>
              <w:ind w:firstLine="0" w:firstLineChars="0"/>
              <w:jc w:val="center"/>
              <w:rPr>
                <w:rFonts w:cs="Times New Roman" w:asciiTheme="minorEastAsia" w:hAnsiTheme="minorEastAsia"/>
                <w:color w:val="auto"/>
                <w:sz w:val="18"/>
                <w:szCs w:val="18"/>
              </w:rPr>
            </w:pPr>
            <w:r>
              <w:rPr>
                <w:rFonts w:hint="eastAsia" w:hAnsi="宋体"/>
                <w:color w:val="auto"/>
                <w:sz w:val="18"/>
                <w:szCs w:val="18"/>
              </w:rPr>
              <w:t>LS/T 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16" w:type="dxa"/>
            <w:vAlign w:val="center"/>
          </w:tcPr>
          <w:p>
            <w:pPr>
              <w:rPr>
                <w:rFonts w:ascii="宋体" w:hAnsi="宋体" w:cs="宋体"/>
                <w:color w:val="auto"/>
                <w:sz w:val="18"/>
                <w:szCs w:val="18"/>
              </w:rPr>
            </w:pPr>
            <w:r>
              <w:rPr>
                <w:rFonts w:hint="eastAsia" w:ascii="宋体" w:hAnsi="宋体" w:cs="宋体"/>
                <w:color w:val="auto"/>
                <w:sz w:val="18"/>
                <w:szCs w:val="18"/>
              </w:rPr>
              <w:t>自然断条率/%</w:t>
            </w:r>
          </w:p>
        </w:tc>
        <w:tc>
          <w:tcPr>
            <w:tcW w:w="2117" w:type="dxa"/>
            <w:vAlign w:val="center"/>
          </w:tcPr>
          <w:p>
            <w:pPr>
              <w:jc w:val="center"/>
              <w:rPr>
                <w:rFonts w:ascii="宋体" w:hAnsi="宋体" w:cs="宋体"/>
                <w:color w:val="auto"/>
                <w:sz w:val="18"/>
                <w:szCs w:val="18"/>
              </w:rPr>
            </w:pPr>
            <w:r>
              <w:rPr>
                <w:rFonts w:hint="eastAsia" w:ascii="宋体" w:hAnsi="宋体" w:cs="宋体"/>
                <w:color w:val="auto"/>
                <w:sz w:val="18"/>
                <w:szCs w:val="18"/>
              </w:rPr>
              <w:t>≤5.0</w:t>
            </w:r>
          </w:p>
        </w:tc>
        <w:tc>
          <w:tcPr>
            <w:tcW w:w="2932" w:type="dxa"/>
            <w:vAlign w:val="center"/>
          </w:tcPr>
          <w:p>
            <w:pPr>
              <w:spacing w:line="320" w:lineRule="exact"/>
              <w:jc w:val="center"/>
              <w:rPr>
                <w:rFonts w:asciiTheme="minorEastAsia" w:hAnsiTheme="minorEastAsia" w:eastAsiaTheme="minorEastAsia"/>
                <w:color w:val="auto"/>
                <w:sz w:val="18"/>
                <w:szCs w:val="18"/>
              </w:rPr>
            </w:pPr>
            <w:r>
              <w:rPr>
                <w:rFonts w:hint="eastAsia" w:ascii="宋体" w:hAnsi="宋体"/>
                <w:color w:val="auto"/>
                <w:sz w:val="18"/>
                <w:szCs w:val="18"/>
              </w:rPr>
              <w:t>LS/T 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16" w:type="dxa"/>
            <w:vAlign w:val="center"/>
          </w:tcPr>
          <w:p>
            <w:pPr>
              <w:rPr>
                <w:rFonts w:ascii="宋体" w:hAnsi="宋体" w:cs="宋体"/>
                <w:color w:val="auto"/>
                <w:sz w:val="18"/>
                <w:szCs w:val="18"/>
              </w:rPr>
            </w:pPr>
            <w:r>
              <w:rPr>
                <w:rFonts w:hint="eastAsia" w:ascii="宋体" w:hAnsi="宋体" w:cs="宋体"/>
                <w:color w:val="auto"/>
                <w:sz w:val="18"/>
                <w:szCs w:val="18"/>
              </w:rPr>
              <w:t>熟断条率/%</w:t>
            </w:r>
          </w:p>
        </w:tc>
        <w:tc>
          <w:tcPr>
            <w:tcW w:w="2117" w:type="dxa"/>
            <w:vAlign w:val="center"/>
          </w:tcPr>
          <w:p>
            <w:pPr>
              <w:jc w:val="center"/>
              <w:rPr>
                <w:rFonts w:ascii="宋体" w:hAnsi="宋体" w:cs="宋体"/>
                <w:color w:val="auto"/>
                <w:sz w:val="18"/>
                <w:szCs w:val="18"/>
              </w:rPr>
            </w:pPr>
            <w:r>
              <w:rPr>
                <w:rFonts w:hint="eastAsia" w:ascii="宋体" w:hAnsi="宋体" w:cs="宋体"/>
                <w:color w:val="auto"/>
                <w:sz w:val="18"/>
                <w:szCs w:val="18"/>
              </w:rPr>
              <w:t>≤5.0</w:t>
            </w:r>
          </w:p>
        </w:tc>
        <w:tc>
          <w:tcPr>
            <w:tcW w:w="2932" w:type="dxa"/>
            <w:vAlign w:val="center"/>
          </w:tcPr>
          <w:p>
            <w:pPr>
              <w:spacing w:line="320" w:lineRule="exact"/>
              <w:jc w:val="center"/>
              <w:rPr>
                <w:rFonts w:asciiTheme="minorEastAsia" w:hAnsiTheme="minorEastAsia" w:eastAsiaTheme="minorEastAsia"/>
                <w:color w:val="auto"/>
                <w:sz w:val="18"/>
                <w:szCs w:val="18"/>
              </w:rPr>
            </w:pPr>
            <w:r>
              <w:rPr>
                <w:rFonts w:hint="eastAsia" w:ascii="宋体" w:hAnsi="宋体"/>
                <w:color w:val="auto"/>
                <w:sz w:val="18"/>
                <w:szCs w:val="18"/>
              </w:rPr>
              <w:t>LS/T 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16" w:type="dxa"/>
            <w:vAlign w:val="center"/>
          </w:tcPr>
          <w:p>
            <w:pPr>
              <w:rPr>
                <w:rFonts w:ascii="宋体" w:hAnsi="宋体" w:cs="宋体"/>
                <w:color w:val="auto"/>
                <w:sz w:val="18"/>
                <w:szCs w:val="18"/>
              </w:rPr>
            </w:pPr>
            <w:r>
              <w:rPr>
                <w:rFonts w:hint="eastAsia" w:ascii="宋体" w:hAnsi="宋体" w:cs="宋体"/>
                <w:color w:val="auto"/>
                <w:sz w:val="18"/>
                <w:szCs w:val="18"/>
              </w:rPr>
              <w:t>烹调损失率/%</w:t>
            </w:r>
          </w:p>
        </w:tc>
        <w:tc>
          <w:tcPr>
            <w:tcW w:w="2117" w:type="dxa"/>
            <w:vAlign w:val="center"/>
          </w:tcPr>
          <w:p>
            <w:pPr>
              <w:jc w:val="center"/>
              <w:rPr>
                <w:rFonts w:ascii="宋体" w:hAnsi="宋体" w:cs="宋体"/>
                <w:color w:val="auto"/>
                <w:sz w:val="18"/>
                <w:szCs w:val="18"/>
              </w:rPr>
            </w:pPr>
            <w:r>
              <w:rPr>
                <w:rFonts w:hint="eastAsia" w:ascii="宋体" w:hAnsi="宋体" w:cs="宋体"/>
                <w:color w:val="auto"/>
                <w:sz w:val="18"/>
                <w:szCs w:val="18"/>
              </w:rPr>
              <w:t>≤10.0</w:t>
            </w:r>
          </w:p>
        </w:tc>
        <w:tc>
          <w:tcPr>
            <w:tcW w:w="2932" w:type="dxa"/>
            <w:vAlign w:val="center"/>
          </w:tcPr>
          <w:p>
            <w:pPr>
              <w:spacing w:line="320" w:lineRule="exact"/>
              <w:jc w:val="center"/>
              <w:rPr>
                <w:rFonts w:asciiTheme="minorEastAsia" w:hAnsiTheme="minorEastAsia" w:eastAsiaTheme="minorEastAsia"/>
                <w:color w:val="auto"/>
                <w:sz w:val="18"/>
                <w:szCs w:val="18"/>
              </w:rPr>
            </w:pPr>
            <w:r>
              <w:rPr>
                <w:rFonts w:hint="eastAsia" w:ascii="宋体" w:hAnsi="宋体"/>
                <w:color w:val="auto"/>
                <w:sz w:val="18"/>
                <w:szCs w:val="18"/>
              </w:rPr>
              <w:t>LS/T 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16" w:type="dxa"/>
            <w:vAlign w:val="center"/>
          </w:tcPr>
          <w:p>
            <w:pPr>
              <w:rPr>
                <w:rFonts w:ascii="宋体" w:hAnsi="宋体" w:cs="宋体"/>
                <w:color w:val="auto"/>
                <w:sz w:val="18"/>
                <w:szCs w:val="18"/>
              </w:rPr>
            </w:pPr>
            <w:r>
              <w:rPr>
                <w:rFonts w:hint="eastAsia" w:ascii="宋体" w:hAnsi="宋体" w:cs="宋体"/>
                <w:color w:val="auto"/>
                <w:sz w:val="18"/>
                <w:szCs w:val="18"/>
              </w:rPr>
              <w:t xml:space="preserve">铅(以Pb计) /(mg/kg)                      </w:t>
            </w:r>
          </w:p>
        </w:tc>
        <w:tc>
          <w:tcPr>
            <w:tcW w:w="2117" w:type="dxa"/>
            <w:vAlign w:val="center"/>
          </w:tcPr>
          <w:p>
            <w:pPr>
              <w:jc w:val="center"/>
              <w:rPr>
                <w:rFonts w:ascii="宋体" w:hAnsi="宋体" w:cs="宋体"/>
                <w:color w:val="auto"/>
                <w:sz w:val="18"/>
                <w:szCs w:val="18"/>
              </w:rPr>
            </w:pPr>
            <w:r>
              <w:rPr>
                <w:rFonts w:hint="eastAsia" w:ascii="宋体" w:hAnsi="宋体" w:cs="宋体"/>
                <w:color w:val="auto"/>
                <w:sz w:val="18"/>
                <w:szCs w:val="18"/>
              </w:rPr>
              <w:t>≤0.18</w:t>
            </w:r>
          </w:p>
        </w:tc>
        <w:tc>
          <w:tcPr>
            <w:tcW w:w="2932" w:type="dxa"/>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16" w:type="dxa"/>
            <w:vAlign w:val="center"/>
          </w:tcPr>
          <w:p>
            <w:pPr>
              <w:spacing w:line="320" w:lineRule="exact"/>
              <w:rPr>
                <w:rFonts w:ascii="宋体" w:hAnsi="宋体" w:cs="宋体"/>
                <w:color w:val="auto"/>
                <w:sz w:val="18"/>
                <w:szCs w:val="18"/>
              </w:rPr>
            </w:pPr>
            <w:r>
              <w:rPr>
                <w:rFonts w:hint="eastAsia" w:ascii="宋体" w:hAnsi="宋体" w:cs="宋体"/>
                <w:color w:val="auto"/>
                <w:sz w:val="18"/>
                <w:szCs w:val="18"/>
              </w:rPr>
              <w:t>黄曲霉毒素B</w:t>
            </w:r>
            <w:r>
              <w:rPr>
                <w:rFonts w:hint="eastAsia" w:ascii="宋体" w:hAnsi="宋体" w:cs="宋体"/>
                <w:color w:val="auto"/>
                <w:sz w:val="18"/>
                <w:szCs w:val="18"/>
                <w:vertAlign w:val="subscript"/>
              </w:rPr>
              <w:t>1</w:t>
            </w:r>
            <w:r>
              <w:rPr>
                <w:rFonts w:hint="eastAsia" w:ascii="宋体" w:hAnsi="宋体" w:cs="宋体"/>
                <w:color w:val="auto"/>
                <w:sz w:val="18"/>
                <w:szCs w:val="18"/>
              </w:rPr>
              <w:t>/μ</w:t>
            </w:r>
            <w:r>
              <w:rPr>
                <w:rFonts w:ascii="宋体" w:hAnsi="宋体" w:cs="宋体"/>
                <w:color w:val="auto"/>
                <w:sz w:val="18"/>
                <w:szCs w:val="18"/>
              </w:rPr>
              <w:t>g/kg</w:t>
            </w:r>
          </w:p>
        </w:tc>
        <w:tc>
          <w:tcPr>
            <w:tcW w:w="2117" w:type="dxa"/>
            <w:vAlign w:val="center"/>
          </w:tcPr>
          <w:p>
            <w:pPr>
              <w:spacing w:line="320" w:lineRule="exact"/>
              <w:jc w:val="center"/>
              <w:rPr>
                <w:rFonts w:ascii="宋体" w:hAnsi="宋体" w:cs="宋体"/>
                <w:color w:val="auto"/>
                <w:sz w:val="18"/>
                <w:szCs w:val="18"/>
              </w:rPr>
            </w:pPr>
            <w:r>
              <w:rPr>
                <w:rFonts w:hint="eastAsia" w:ascii="宋体" w:hAnsi="宋体" w:cs="宋体"/>
                <w:color w:val="auto"/>
                <w:sz w:val="18"/>
                <w:szCs w:val="18"/>
              </w:rPr>
              <w:t>≤5.0</w:t>
            </w:r>
          </w:p>
        </w:tc>
        <w:tc>
          <w:tcPr>
            <w:tcW w:w="2932" w:type="dxa"/>
            <w:vAlign w:val="center"/>
          </w:tcPr>
          <w:p>
            <w:pPr>
              <w:spacing w:line="320" w:lineRule="exact"/>
              <w:jc w:val="center"/>
              <w:rPr>
                <w:rFonts w:ascii="宋体" w:hAnsi="宋体" w:cs="宋体"/>
                <w:color w:val="auto"/>
                <w:sz w:val="18"/>
                <w:szCs w:val="18"/>
              </w:rPr>
            </w:pPr>
            <w:r>
              <w:rPr>
                <w:rFonts w:hint="eastAsia" w:ascii="宋体" w:hAnsi="宋体" w:cs="宋体"/>
                <w:color w:val="auto"/>
                <w:sz w:val="18"/>
                <w:szCs w:val="18"/>
              </w:rPr>
              <w:t>GB 5009.22</w:t>
            </w:r>
          </w:p>
        </w:tc>
      </w:tr>
      <w:bookmarkEnd w:id="11"/>
      <w:bookmarkEnd w:id="12"/>
    </w:tbl>
    <w:p>
      <w:pPr>
        <w:pStyle w:val="22"/>
        <w:tabs>
          <w:tab w:val="clear" w:pos="2160"/>
        </w:tabs>
        <w:spacing w:beforeLines="50" w:afterLines="50"/>
        <w:ind w:left="0" w:firstLine="0"/>
        <w:rPr>
          <w:rFonts w:ascii="黑体" w:hAnsi="黑体" w:cs="黑体"/>
          <w:color w:val="auto"/>
        </w:rPr>
      </w:pPr>
      <w:r>
        <w:rPr>
          <w:rFonts w:hint="eastAsia" w:ascii="黑体" w:hAnsi="黑体" w:cs="黑体"/>
          <w:color w:val="auto"/>
        </w:rPr>
        <w:t>3.5  食品添加剂</w:t>
      </w:r>
    </w:p>
    <w:p>
      <w:pPr>
        <w:pStyle w:val="21"/>
        <w:tabs>
          <w:tab w:val="clear" w:pos="2880"/>
        </w:tabs>
        <w:ind w:left="0" w:firstLine="0"/>
        <w:rPr>
          <w:rFonts w:ascii="黑体" w:hAnsi="黑体" w:cs="黑体"/>
          <w:color w:val="auto"/>
        </w:rPr>
      </w:pPr>
      <w:r>
        <w:rPr>
          <w:rFonts w:hint="eastAsia" w:ascii="黑体" w:hAnsi="黑体" w:cs="黑体"/>
          <w:color w:val="auto"/>
        </w:rPr>
        <w:t>3.5.1 食品添加剂质量应符合相应的标准和有关规定。</w:t>
      </w:r>
    </w:p>
    <w:p>
      <w:pPr>
        <w:pStyle w:val="22"/>
        <w:tabs>
          <w:tab w:val="clear" w:pos="2160"/>
        </w:tabs>
        <w:ind w:left="0" w:firstLine="0"/>
        <w:rPr>
          <w:rFonts w:ascii="黑体" w:hAnsi="黑体" w:cs="黑体"/>
          <w:color w:val="auto"/>
        </w:rPr>
      </w:pPr>
      <w:r>
        <w:rPr>
          <w:rFonts w:hint="eastAsia" w:ascii="黑体" w:hAnsi="黑体" w:cs="黑体"/>
          <w:color w:val="auto"/>
        </w:rPr>
        <w:t xml:space="preserve">3.5.2 食品添加剂种类及添加量应符合GB 2760的规定。 </w:t>
      </w:r>
    </w:p>
    <w:p>
      <w:pPr>
        <w:pStyle w:val="22"/>
        <w:tabs>
          <w:tab w:val="clear" w:pos="2160"/>
        </w:tabs>
        <w:spacing w:beforeLines="50" w:afterLines="50"/>
        <w:ind w:left="0" w:firstLine="0"/>
        <w:rPr>
          <w:rFonts w:ascii="黑体" w:hAnsi="黑体" w:cs="黑体"/>
          <w:color w:val="auto"/>
        </w:rPr>
      </w:pPr>
      <w:r>
        <w:rPr>
          <w:rFonts w:hint="eastAsia" w:ascii="黑体" w:hAnsi="黑体" w:cs="黑体"/>
          <w:color w:val="auto"/>
        </w:rPr>
        <w:t>3.6  净含量</w:t>
      </w:r>
    </w:p>
    <w:p>
      <w:pPr>
        <w:pStyle w:val="20"/>
        <w:spacing w:line="340" w:lineRule="exact"/>
        <w:jc w:val="both"/>
        <w:rPr>
          <w:rFonts w:hint="default" w:ascii="宋体" w:eastAsia="宋体"/>
          <w:color w:val="auto"/>
          <w:sz w:val="21"/>
        </w:rPr>
      </w:pPr>
      <w:r>
        <w:rPr>
          <w:rFonts w:ascii="宋体" w:eastAsia="宋体"/>
          <w:color w:val="auto"/>
          <w:sz w:val="21"/>
        </w:rPr>
        <w:t xml:space="preserve">    应符合国家《定量包装商品计量监督管理办法》</w:t>
      </w:r>
      <w:r>
        <w:rPr>
          <w:rFonts w:hint="default" w:ascii="宋体" w:eastAsia="宋体"/>
          <w:color w:val="auto"/>
          <w:sz w:val="21"/>
        </w:rPr>
        <w:t>的规定。</w:t>
      </w:r>
      <w:r>
        <w:rPr>
          <w:rFonts w:hint="default" w:ascii="宋体" w:eastAsia="宋体"/>
          <w:color w:val="auto"/>
          <w:sz w:val="21"/>
        </w:rPr>
        <w:t>按</w:t>
      </w:r>
      <w:r>
        <w:rPr>
          <w:rFonts w:ascii="宋体" w:eastAsia="宋体"/>
          <w:color w:val="auto"/>
          <w:sz w:val="21"/>
        </w:rPr>
        <w:t>JJF 1070的规定检验。</w:t>
      </w:r>
    </w:p>
    <w:p>
      <w:pPr>
        <w:pStyle w:val="22"/>
        <w:tabs>
          <w:tab w:val="clear" w:pos="2160"/>
        </w:tabs>
        <w:spacing w:beforeLines="50" w:afterLines="50"/>
        <w:ind w:left="0" w:firstLine="0"/>
        <w:rPr>
          <w:rFonts w:ascii="黑体" w:hAnsi="黑体" w:cs="黑体"/>
          <w:color w:val="auto"/>
        </w:rPr>
      </w:pPr>
      <w:r>
        <w:rPr>
          <w:rFonts w:hint="eastAsia" w:ascii="黑体" w:hAnsi="黑体" w:cs="黑体"/>
          <w:color w:val="auto"/>
        </w:rPr>
        <w:t>3.7  生产过程卫生要求</w:t>
      </w:r>
    </w:p>
    <w:p>
      <w:pPr>
        <w:pStyle w:val="20"/>
        <w:spacing w:line="340" w:lineRule="exact"/>
        <w:ind w:firstLine="420" w:firstLineChars="200"/>
        <w:jc w:val="both"/>
        <w:rPr>
          <w:rFonts w:hint="default" w:ascii="宋体" w:eastAsia="宋体"/>
          <w:color w:val="auto"/>
          <w:sz w:val="21"/>
        </w:rPr>
      </w:pPr>
      <w:r>
        <w:rPr>
          <w:rFonts w:ascii="宋体" w:eastAsia="宋体"/>
          <w:color w:val="auto"/>
          <w:sz w:val="21"/>
        </w:rPr>
        <w:t>应符合</w:t>
      </w:r>
      <w:r>
        <w:rPr>
          <w:rFonts w:hint="default" w:ascii="宋体" w:eastAsia="宋体"/>
          <w:color w:val="auto"/>
          <w:sz w:val="21"/>
        </w:rPr>
        <w:t xml:space="preserve">GB </w:t>
      </w:r>
      <w:r>
        <w:rPr>
          <w:rFonts w:ascii="宋体" w:eastAsia="宋体"/>
          <w:color w:val="auto"/>
          <w:sz w:val="21"/>
        </w:rPr>
        <w:t>14881</w:t>
      </w:r>
      <w:r>
        <w:rPr>
          <w:rFonts w:hint="default" w:ascii="宋体" w:eastAsia="宋体"/>
          <w:color w:val="auto"/>
          <w:sz w:val="21"/>
        </w:rPr>
        <w:t>的规定。</w:t>
      </w:r>
    </w:p>
    <w:p>
      <w:pPr>
        <w:pStyle w:val="24"/>
        <w:tabs>
          <w:tab w:val="clear" w:pos="1440"/>
        </w:tabs>
        <w:spacing w:beforeLines="100" w:afterLines="100"/>
        <w:ind w:left="0" w:firstLine="0"/>
        <w:rPr>
          <w:rFonts w:hAnsi="黑体" w:cs="黑体"/>
          <w:color w:val="auto"/>
        </w:rPr>
      </w:pPr>
      <w:r>
        <w:rPr>
          <w:rFonts w:hint="eastAsia" w:hAnsi="黑体" w:cs="黑体"/>
          <w:color w:val="auto"/>
        </w:rPr>
        <w:t>4  检验规则</w:t>
      </w:r>
    </w:p>
    <w:p>
      <w:pPr>
        <w:pStyle w:val="24"/>
        <w:tabs>
          <w:tab w:val="clear" w:pos="1440"/>
        </w:tabs>
        <w:spacing w:before="156" w:after="156"/>
        <w:ind w:left="0" w:firstLine="0"/>
        <w:rPr>
          <w:rFonts w:hAnsi="黑体" w:cs="黑体"/>
          <w:color w:val="auto"/>
        </w:rPr>
      </w:pPr>
      <w:r>
        <w:rPr>
          <w:rFonts w:hint="eastAsia" w:hAnsi="黑体" w:cs="黑体"/>
          <w:color w:val="auto"/>
        </w:rPr>
        <w:t>4.1  组批</w:t>
      </w:r>
    </w:p>
    <w:p>
      <w:pPr>
        <w:pStyle w:val="8"/>
        <w:ind w:firstLine="0" w:firstLineChars="0"/>
        <w:rPr>
          <w:rFonts w:hAnsi="宋体"/>
          <w:color w:val="auto"/>
        </w:rPr>
      </w:pPr>
      <w:r>
        <w:rPr>
          <w:rFonts w:hint="eastAsia" w:hAnsi="宋体"/>
          <w:color w:val="auto"/>
        </w:rPr>
        <w:t xml:space="preserve">    同一品种的同一配方、同一次投料、同一工艺生产的同一规格的产品为同一批次。</w:t>
      </w:r>
    </w:p>
    <w:p>
      <w:pPr>
        <w:pStyle w:val="24"/>
        <w:tabs>
          <w:tab w:val="clear" w:pos="1440"/>
        </w:tabs>
        <w:spacing w:before="156" w:after="156"/>
        <w:ind w:left="0" w:firstLine="0"/>
        <w:rPr>
          <w:rFonts w:hAnsi="黑体" w:cs="黑体"/>
          <w:color w:val="auto"/>
        </w:rPr>
      </w:pPr>
      <w:r>
        <w:rPr>
          <w:rFonts w:hint="eastAsia" w:hAnsi="黑体" w:cs="黑体"/>
          <w:color w:val="auto"/>
        </w:rPr>
        <w:t>4.2  抽样</w:t>
      </w:r>
    </w:p>
    <w:p>
      <w:pPr>
        <w:pStyle w:val="8"/>
        <w:ind w:firstLine="0" w:firstLineChars="0"/>
        <w:rPr>
          <w:rFonts w:hAnsi="宋体"/>
          <w:color w:val="auto"/>
        </w:rPr>
      </w:pPr>
      <w:r>
        <w:rPr>
          <w:rFonts w:hint="eastAsia" w:hAnsi="宋体"/>
          <w:color w:val="auto"/>
        </w:rPr>
        <w:t xml:space="preserve">    每批随机抽取12份样品，分为两份，一份检验，一份备用。</w:t>
      </w:r>
    </w:p>
    <w:p>
      <w:pPr>
        <w:pStyle w:val="24"/>
        <w:tabs>
          <w:tab w:val="clear" w:pos="1440"/>
        </w:tabs>
        <w:spacing w:before="156" w:after="156"/>
        <w:ind w:left="0" w:firstLine="0"/>
        <w:rPr>
          <w:rFonts w:hAnsi="黑体" w:cs="黑体"/>
          <w:color w:val="auto"/>
        </w:rPr>
      </w:pPr>
      <w:r>
        <w:rPr>
          <w:rFonts w:hint="eastAsia" w:hAnsi="黑体" w:cs="黑体"/>
          <w:color w:val="auto"/>
        </w:rPr>
        <w:t>4.3  检验</w:t>
      </w:r>
    </w:p>
    <w:p>
      <w:pPr>
        <w:pStyle w:val="24"/>
        <w:tabs>
          <w:tab w:val="clear" w:pos="1440"/>
        </w:tabs>
        <w:spacing w:before="156" w:after="156"/>
        <w:ind w:left="0" w:firstLine="0"/>
        <w:rPr>
          <w:rFonts w:hAnsi="黑体" w:cs="黑体"/>
          <w:color w:val="auto"/>
        </w:rPr>
      </w:pPr>
      <w:r>
        <w:rPr>
          <w:rFonts w:hint="eastAsia" w:hAnsi="黑体" w:cs="黑体"/>
          <w:color w:val="auto"/>
        </w:rPr>
        <w:t>4.3.1 出厂检验</w:t>
      </w:r>
    </w:p>
    <w:p>
      <w:pPr>
        <w:pStyle w:val="8"/>
        <w:rPr>
          <w:rFonts w:hAnsi="宋体"/>
          <w:color w:val="auto"/>
        </w:rPr>
      </w:pPr>
      <w:r>
        <w:rPr>
          <w:rFonts w:hint="eastAsia" w:hAnsi="宋体"/>
          <w:color w:val="auto"/>
        </w:rPr>
        <w:t>每批产品出厂前都应进行出厂检验，出厂检验项目包括：感官、水分、酸度、自然断条率、熟断条率、烹调损失率、净含量。</w:t>
      </w:r>
    </w:p>
    <w:p>
      <w:pPr>
        <w:pStyle w:val="24"/>
        <w:tabs>
          <w:tab w:val="clear" w:pos="1440"/>
        </w:tabs>
        <w:spacing w:before="156" w:after="156"/>
        <w:ind w:left="0" w:firstLine="0"/>
        <w:rPr>
          <w:rFonts w:hAnsi="黑体" w:cs="黑体"/>
          <w:color w:val="auto"/>
        </w:rPr>
      </w:pPr>
      <w:r>
        <w:rPr>
          <w:rFonts w:hint="eastAsia" w:hAnsi="黑体" w:cs="黑体"/>
          <w:color w:val="auto"/>
        </w:rPr>
        <w:t>4.3.2  型式检验</w:t>
      </w:r>
    </w:p>
    <w:p>
      <w:pPr>
        <w:ind w:firstLine="420" w:firstLineChars="200"/>
        <w:rPr>
          <w:rFonts w:ascii="宋体" w:hAnsi="宋体" w:cs="宋体"/>
          <w:color w:val="auto"/>
          <w:szCs w:val="21"/>
        </w:rPr>
      </w:pPr>
      <w:r>
        <w:rPr>
          <w:rFonts w:hint="eastAsia" w:ascii="宋体" w:hAnsi="宋体" w:cs="宋体"/>
          <w:color w:val="auto"/>
          <w:szCs w:val="21"/>
        </w:rPr>
        <w:t>型式检验为本标准中3.3～3.6项中规定的项目，每半年进行一次，有下情况之一时亦应进行型式检验：</w:t>
      </w:r>
    </w:p>
    <w:p>
      <w:pPr>
        <w:ind w:firstLine="420" w:firstLineChars="200"/>
        <w:rPr>
          <w:rFonts w:ascii="宋体" w:hAnsi="宋体" w:cs="宋体"/>
          <w:color w:val="auto"/>
          <w:szCs w:val="21"/>
        </w:rPr>
      </w:pPr>
      <w:r>
        <w:rPr>
          <w:rFonts w:hint="eastAsia" w:ascii="宋体" w:hAnsi="宋体" w:cs="宋体"/>
          <w:color w:val="auto"/>
          <w:szCs w:val="21"/>
        </w:rPr>
        <w:t>a、</w:t>
      </w:r>
      <w:r>
        <w:rPr>
          <w:rFonts w:hint="eastAsia" w:ascii="宋体" w:hAnsi="宋体" w:cs="宋体"/>
          <w:bCs/>
          <w:color w:val="auto"/>
          <w:szCs w:val="21"/>
        </w:rPr>
        <w:t>原料产地或生产工艺设备有较大改变，可能影响产品质量时；</w:t>
      </w:r>
    </w:p>
    <w:p>
      <w:pPr>
        <w:ind w:firstLine="420" w:firstLineChars="200"/>
        <w:rPr>
          <w:rFonts w:ascii="宋体" w:hAnsi="宋体" w:cs="宋体"/>
          <w:color w:val="auto"/>
          <w:szCs w:val="21"/>
        </w:rPr>
      </w:pPr>
      <w:r>
        <w:rPr>
          <w:rFonts w:hint="eastAsia" w:ascii="宋体" w:hAnsi="宋体" w:cs="宋体"/>
          <w:color w:val="auto"/>
          <w:szCs w:val="21"/>
        </w:rPr>
        <w:t>b、连续停产三月以上恢复生产时；</w:t>
      </w:r>
    </w:p>
    <w:p>
      <w:pPr>
        <w:ind w:firstLine="420" w:firstLineChars="200"/>
        <w:rPr>
          <w:rFonts w:ascii="宋体" w:hAnsi="宋体" w:cs="宋体"/>
          <w:color w:val="auto"/>
          <w:szCs w:val="21"/>
        </w:rPr>
      </w:pPr>
      <w:r>
        <w:rPr>
          <w:rFonts w:hint="eastAsia" w:ascii="宋体" w:hAnsi="宋体" w:cs="宋体"/>
          <w:color w:val="auto"/>
          <w:szCs w:val="21"/>
        </w:rPr>
        <w:t>c、出厂检验结果与上次型式检验结果有较大差异时;</w:t>
      </w:r>
    </w:p>
    <w:p>
      <w:pPr>
        <w:ind w:firstLine="420" w:firstLineChars="200"/>
        <w:rPr>
          <w:rFonts w:ascii="宋体" w:hAnsi="宋体" w:cs="宋体"/>
          <w:color w:val="auto"/>
          <w:szCs w:val="21"/>
        </w:rPr>
      </w:pPr>
      <w:r>
        <w:rPr>
          <w:rFonts w:hint="eastAsia" w:ascii="宋体" w:hAnsi="宋体" w:cs="宋体"/>
          <w:color w:val="auto"/>
          <w:szCs w:val="21"/>
        </w:rPr>
        <w:t>d、</w:t>
      </w:r>
      <w:r>
        <w:rPr>
          <w:rFonts w:hint="eastAsia" w:ascii="宋体" w:hAnsi="宋体" w:cs="宋体"/>
          <w:snapToGrid w:val="0"/>
          <w:color w:val="auto"/>
          <w:szCs w:val="21"/>
        </w:rPr>
        <w:t>国家市场监督管理部门</w:t>
      </w:r>
      <w:r>
        <w:rPr>
          <w:rFonts w:hint="eastAsia" w:ascii="宋体" w:hAnsi="宋体" w:cs="宋体"/>
          <w:color w:val="auto"/>
          <w:szCs w:val="21"/>
        </w:rPr>
        <w:t>提出型式检验要求时。</w:t>
      </w:r>
    </w:p>
    <w:p>
      <w:pPr>
        <w:pStyle w:val="24"/>
        <w:tabs>
          <w:tab w:val="clear" w:pos="1440"/>
        </w:tabs>
        <w:spacing w:before="156" w:after="156"/>
        <w:ind w:left="0" w:firstLine="0"/>
        <w:rPr>
          <w:rFonts w:hAnsi="黑体" w:cs="黑体"/>
          <w:color w:val="auto"/>
        </w:rPr>
      </w:pPr>
      <w:r>
        <w:rPr>
          <w:rFonts w:hint="eastAsia" w:hAnsi="黑体" w:cs="黑体"/>
          <w:color w:val="auto"/>
        </w:rPr>
        <w:t>4.4  判定规则</w:t>
      </w:r>
    </w:p>
    <w:p>
      <w:pPr>
        <w:pStyle w:val="25"/>
        <w:spacing w:before="50" w:after="50" w:line="340" w:lineRule="exact"/>
        <w:ind w:firstLine="420" w:firstLineChars="200"/>
        <w:rPr>
          <w:rFonts w:ascii="宋体" w:hAnsi="宋体"/>
          <w:color w:val="auto"/>
          <w:sz w:val="21"/>
        </w:rPr>
      </w:pPr>
      <w:r>
        <w:rPr>
          <w:rFonts w:ascii="宋体" w:hAnsi="宋体"/>
          <w:color w:val="auto"/>
          <w:sz w:val="21"/>
        </w:rPr>
        <w:t>检验项目全部合格者，判为合格品。否则，可对该批次留样产品进行不符合项的检验，判定结果以复检结果为准。</w:t>
      </w:r>
    </w:p>
    <w:p>
      <w:pPr>
        <w:pStyle w:val="24"/>
        <w:tabs>
          <w:tab w:val="clear" w:pos="1440"/>
        </w:tabs>
        <w:spacing w:beforeLines="100" w:afterLines="100"/>
        <w:ind w:left="0" w:firstLine="0"/>
        <w:rPr>
          <w:rFonts w:hAnsi="黑体" w:cs="黑体"/>
          <w:color w:val="auto"/>
        </w:rPr>
      </w:pPr>
      <w:r>
        <w:rPr>
          <w:rFonts w:hint="eastAsia" w:hAnsi="黑体" w:cs="黑体"/>
          <w:color w:val="auto"/>
        </w:rPr>
        <w:t>5   标志、标签、包装、运输、贮存</w:t>
      </w:r>
    </w:p>
    <w:p>
      <w:pPr>
        <w:pStyle w:val="24"/>
        <w:tabs>
          <w:tab w:val="clear" w:pos="1440"/>
        </w:tabs>
        <w:spacing w:before="156" w:after="156"/>
        <w:ind w:left="0" w:firstLine="0"/>
        <w:rPr>
          <w:rFonts w:hAnsi="黑体" w:cs="黑体"/>
          <w:color w:val="auto"/>
        </w:rPr>
      </w:pPr>
      <w:r>
        <w:rPr>
          <w:rFonts w:hint="eastAsia" w:hAnsi="黑体" w:cs="黑体"/>
          <w:color w:val="auto"/>
        </w:rPr>
        <w:t>5.1  标志、标签</w:t>
      </w:r>
    </w:p>
    <w:p>
      <w:pPr>
        <w:pStyle w:val="19"/>
        <w:spacing w:line="340" w:lineRule="exact"/>
        <w:ind w:left="0" w:firstLine="400"/>
        <w:rPr>
          <w:rFonts w:ascii="宋体" w:hAnsi="宋体"/>
          <w:color w:val="auto"/>
        </w:rPr>
      </w:pPr>
      <w:r>
        <w:rPr>
          <w:rFonts w:hint="eastAsia" w:ascii="宋体" w:hAnsi="宋体"/>
          <w:color w:val="auto"/>
        </w:rPr>
        <w:t>产品包装应有明显标志，食品标签</w:t>
      </w:r>
      <w:r>
        <w:rPr>
          <w:rFonts w:ascii="宋体" w:hAnsi="宋体"/>
          <w:color w:val="auto"/>
        </w:rPr>
        <w:t>应符合GB 7718</w:t>
      </w:r>
      <w:r>
        <w:rPr>
          <w:rFonts w:hint="eastAsia" w:ascii="宋体" w:hAnsi="宋体"/>
          <w:color w:val="auto"/>
        </w:rPr>
        <w:t>和</w:t>
      </w:r>
      <w:r>
        <w:rPr>
          <w:rFonts w:ascii="宋体" w:hAnsi="宋体"/>
          <w:color w:val="auto"/>
        </w:rPr>
        <w:t>GB</w:t>
      </w:r>
      <w:r>
        <w:rPr>
          <w:rFonts w:hint="eastAsia" w:ascii="宋体" w:hAnsi="宋体"/>
          <w:color w:val="auto"/>
        </w:rPr>
        <w:t xml:space="preserve"> 28050</w:t>
      </w:r>
      <w:r>
        <w:rPr>
          <w:rFonts w:ascii="宋体" w:hAnsi="宋体"/>
          <w:color w:val="auto"/>
        </w:rPr>
        <w:t>的规定</w:t>
      </w:r>
      <w:r>
        <w:rPr>
          <w:rFonts w:hint="eastAsia" w:ascii="宋体" w:hAnsi="宋体"/>
          <w:color w:val="auto"/>
        </w:rPr>
        <w:t>，包装储运图示标志应符合</w:t>
      </w:r>
      <w:r>
        <w:rPr>
          <w:rFonts w:ascii="宋体" w:hAnsi="宋体"/>
          <w:color w:val="auto"/>
        </w:rPr>
        <w:t>GB/T 191的规定</w:t>
      </w:r>
      <w:r>
        <w:rPr>
          <w:rFonts w:hint="eastAsia" w:ascii="宋体" w:hAnsi="宋体"/>
          <w:color w:val="auto"/>
        </w:rPr>
        <w:t>。</w:t>
      </w:r>
    </w:p>
    <w:p>
      <w:pPr>
        <w:pStyle w:val="24"/>
        <w:tabs>
          <w:tab w:val="clear" w:pos="1440"/>
        </w:tabs>
        <w:spacing w:before="156" w:after="156"/>
        <w:ind w:left="0" w:firstLine="0"/>
        <w:rPr>
          <w:rFonts w:hAnsi="黑体" w:cs="黑体"/>
          <w:color w:val="auto"/>
        </w:rPr>
      </w:pPr>
      <w:r>
        <w:rPr>
          <w:rFonts w:hint="eastAsia" w:hAnsi="黑体" w:cs="黑体"/>
          <w:color w:val="auto"/>
        </w:rPr>
        <w:t>5.2  包装</w:t>
      </w:r>
    </w:p>
    <w:p>
      <w:pPr>
        <w:pStyle w:val="25"/>
        <w:spacing w:line="340" w:lineRule="exact"/>
        <w:ind w:firstLine="420" w:firstLineChars="200"/>
        <w:rPr>
          <w:rFonts w:ascii="宋体" w:hAnsi="宋体"/>
          <w:color w:val="auto"/>
          <w:sz w:val="21"/>
        </w:rPr>
      </w:pPr>
      <w:r>
        <w:rPr>
          <w:rFonts w:ascii="宋体" w:hAnsi="宋体"/>
          <w:color w:val="auto"/>
          <w:sz w:val="21"/>
        </w:rPr>
        <w:t>应采用密闭包装，包装材料应清洁、无异味、无毒无害，并应符合国家相关食品包装材料的安全卫生标准规定。</w:t>
      </w:r>
    </w:p>
    <w:p>
      <w:pPr>
        <w:pStyle w:val="24"/>
        <w:tabs>
          <w:tab w:val="clear" w:pos="1440"/>
        </w:tabs>
        <w:spacing w:before="156" w:after="156"/>
        <w:ind w:left="0" w:firstLine="0"/>
        <w:rPr>
          <w:rFonts w:hAnsi="黑体" w:cs="黑体"/>
          <w:color w:val="auto"/>
        </w:rPr>
      </w:pPr>
      <w:r>
        <w:rPr>
          <w:rFonts w:hint="eastAsia" w:hAnsi="黑体" w:cs="黑体"/>
          <w:color w:val="auto"/>
        </w:rPr>
        <w:t>5.3  运输</w:t>
      </w:r>
    </w:p>
    <w:p>
      <w:pPr>
        <w:pStyle w:val="25"/>
        <w:spacing w:line="340" w:lineRule="exact"/>
        <w:ind w:firstLine="420" w:firstLineChars="200"/>
        <w:rPr>
          <w:rFonts w:ascii="宋体" w:hAnsi="宋体"/>
          <w:color w:val="auto"/>
          <w:sz w:val="21"/>
        </w:rPr>
      </w:pPr>
      <w:r>
        <w:rPr>
          <w:rFonts w:ascii="宋体" w:hAnsi="宋体"/>
          <w:color w:val="auto"/>
          <w:sz w:val="21"/>
        </w:rPr>
        <w:t>运输工具应清洁卫生、无异味、无污染，运输时应防止日晒、雨淋，不得与有毒、有害、有异味、或影响产品质量的物品混装运输。</w:t>
      </w:r>
    </w:p>
    <w:p>
      <w:pPr>
        <w:pStyle w:val="24"/>
        <w:tabs>
          <w:tab w:val="clear" w:pos="1440"/>
        </w:tabs>
        <w:spacing w:before="156" w:after="156"/>
        <w:ind w:left="0" w:firstLine="0"/>
        <w:rPr>
          <w:rFonts w:hAnsi="黑体" w:cs="黑体"/>
          <w:color w:val="auto"/>
        </w:rPr>
      </w:pPr>
      <w:r>
        <w:rPr>
          <w:rFonts w:hint="eastAsia" w:hAnsi="黑体" w:cs="黑体"/>
          <w:color w:val="auto"/>
        </w:rPr>
        <w:t>5.4  贮存</w:t>
      </w:r>
    </w:p>
    <w:p>
      <w:pPr>
        <w:pStyle w:val="25"/>
        <w:spacing w:line="340" w:lineRule="exact"/>
        <w:ind w:firstLine="420" w:firstLineChars="200"/>
        <w:rPr>
          <w:rFonts w:ascii="宋体" w:hAnsi="宋体"/>
          <w:color w:val="auto"/>
          <w:sz w:val="21"/>
        </w:rPr>
      </w:pPr>
      <w:r>
        <w:rPr>
          <w:rFonts w:ascii="宋体" w:hAnsi="宋体"/>
          <w:color w:val="auto"/>
          <w:sz w:val="21"/>
        </w:rPr>
        <w:t>产品应贮存于阴凉、干躁、通风良好、清洁卫生的场所，严禁与有毒、有害、有异味、易挥发、易腐蚀的物品同处贮存。</w:t>
      </w:r>
    </w:p>
    <w:p>
      <w:pPr>
        <w:pStyle w:val="25"/>
        <w:spacing w:line="340" w:lineRule="exact"/>
        <w:rPr>
          <w:rFonts w:ascii="宋体" w:hAnsi="宋体"/>
          <w:color w:val="auto"/>
          <w:sz w:val="21"/>
        </w:rPr>
      </w:pPr>
    </w:p>
    <w:p>
      <w:pPr>
        <w:pStyle w:val="25"/>
        <w:spacing w:line="340" w:lineRule="exact"/>
        <w:rPr>
          <w:rFonts w:ascii="宋体" w:hAnsi="宋体"/>
          <w:color w:val="auto"/>
          <w:sz w:val="21"/>
        </w:rPr>
      </w:pPr>
    </w:p>
    <w:p>
      <w:pPr>
        <w:pStyle w:val="25"/>
        <w:spacing w:line="340" w:lineRule="exact"/>
        <w:rPr>
          <w:rFonts w:ascii="宋体" w:hAnsi="宋体"/>
          <w:color w:val="auto"/>
          <w:sz w:val="21"/>
          <w:u w:val="single"/>
        </w:rPr>
      </w:pPr>
      <w:r>
        <w:rPr>
          <w:rFonts w:ascii="宋体" w:hAnsi="宋体"/>
          <w:color w:val="auto"/>
          <w:sz w:val="21"/>
          <w:u w:val="single"/>
        </w:rPr>
        <w:pict>
          <v:shape id="_x0000_s1028" o:spid="_x0000_s1028" o:spt="32" type="#_x0000_t32" style="position:absolute;left:0pt;margin-left:181.7pt;margin-top:11.3pt;height:0pt;width:110.4pt;z-index:251662336;mso-width-relative:page;mso-height-relative:page;" o:connectortype="straight" filled="f" coordsize="21600,21600">
            <v:path arrowok="t"/>
            <v:fill on="f" focussize="0,0"/>
            <v:stroke/>
            <v:imagedata o:title=""/>
            <o:lock v:ext="edit"/>
          </v:shape>
        </w:pict>
      </w:r>
    </w:p>
    <w:p>
      <w:pPr>
        <w:pStyle w:val="8"/>
        <w:rPr>
          <w:rFonts w:hAnsi="宋体"/>
          <w:color w:val="auto"/>
        </w:rPr>
      </w:pPr>
    </w:p>
    <w:p>
      <w:pPr>
        <w:pStyle w:val="8"/>
        <w:rPr>
          <w:color w:val="auto"/>
        </w:rPr>
      </w:pPr>
    </w:p>
    <w:p>
      <w:pPr>
        <w:pStyle w:val="25"/>
        <w:spacing w:before="50" w:after="50" w:line="340" w:lineRule="exact"/>
        <w:rPr>
          <w:rFonts w:ascii="宋体" w:hAnsi="宋体"/>
          <w:color w:val="auto"/>
          <w:sz w:val="21"/>
        </w:rPr>
      </w:pPr>
    </w:p>
    <w:bookmarkEnd w:id="8"/>
    <w:p>
      <w:pPr>
        <w:pStyle w:val="8"/>
        <w:ind w:firstLine="0" w:firstLineChars="0"/>
        <w:rPr>
          <w:rFonts w:hAnsi="宋体"/>
          <w:color w:val="auto"/>
        </w:rPr>
      </w:pPr>
    </w:p>
    <w:bookmarkEnd w:id="17"/>
    <w:sectPr>
      <w:headerReference r:id="rId5" w:type="default"/>
      <w:pgSz w:w="11906" w:h="16838"/>
      <w:pgMar w:top="1418" w:right="1418" w:bottom="1418" w:left="1418"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bookmarkStart w:id="14" w:name="OLE_LINK13"/>
    <w:bookmarkEnd w:id="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rPr>
    </w:pPr>
    <w:bookmarkStart w:id="13" w:name="OLE_LINK17"/>
    <w:r>
      <w:rPr>
        <w:rFonts w:hint="eastAsia" w:hAnsi="黑体" w:cs="黑体"/>
      </w:rPr>
      <w:t>Q/YL 0003S—20</w:t>
    </w:r>
    <w:bookmarkEnd w:id="13"/>
    <w:r>
      <w:rPr>
        <w:rFonts w:hint="eastAsia" w:hAnsi="黑体" w:cs="黑体"/>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0"/>
      <w:rPr>
        <w:rFonts w:hAnsi="黑体" w:cs="黑体"/>
        <w:color w:val="FF0000"/>
      </w:rPr>
    </w:pPr>
    <w:bookmarkStart w:id="15" w:name="OLE_LINK1"/>
    <w:bookmarkStart w:id="16" w:name="OLE_LINK18"/>
    <w:r>
      <w:rPr>
        <w:rFonts w:hint="eastAsia" w:hAnsi="黑体" w:cs="黑体"/>
        <w:color w:val="FF0000"/>
      </w:rPr>
      <w:t>Q/YL 0003S—20</w:t>
    </w:r>
    <w:bookmarkEnd w:id="15"/>
    <w:bookmarkEnd w:id="16"/>
    <w:r>
      <w:rPr>
        <w:rFonts w:hint="eastAsia" w:hAnsi="黑体" w:cs="黑体"/>
        <w:color w:val="FF0000"/>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34A24"/>
    <w:multiLevelType w:val="multilevel"/>
    <w:tmpl w:val="4C134A24"/>
    <w:lvl w:ilvl="0" w:tentative="0">
      <w:start w:val="2"/>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4CE"/>
    <w:rsid w:val="00003550"/>
    <w:rsid w:val="000048CA"/>
    <w:rsid w:val="00005E0C"/>
    <w:rsid w:val="00017FB9"/>
    <w:rsid w:val="00021323"/>
    <w:rsid w:val="0002525E"/>
    <w:rsid w:val="00025656"/>
    <w:rsid w:val="000261D1"/>
    <w:rsid w:val="0003073F"/>
    <w:rsid w:val="000324B3"/>
    <w:rsid w:val="0003570D"/>
    <w:rsid w:val="00035B99"/>
    <w:rsid w:val="0004682F"/>
    <w:rsid w:val="00054A3A"/>
    <w:rsid w:val="00056FAD"/>
    <w:rsid w:val="00061883"/>
    <w:rsid w:val="00065F1A"/>
    <w:rsid w:val="00071FF6"/>
    <w:rsid w:val="00095C8D"/>
    <w:rsid w:val="000979E5"/>
    <w:rsid w:val="000A5AA7"/>
    <w:rsid w:val="000B4ACD"/>
    <w:rsid w:val="000B4FD5"/>
    <w:rsid w:val="000B5639"/>
    <w:rsid w:val="000B6993"/>
    <w:rsid w:val="000D7563"/>
    <w:rsid w:val="000F01CC"/>
    <w:rsid w:val="000F35AD"/>
    <w:rsid w:val="000F5B29"/>
    <w:rsid w:val="00101E94"/>
    <w:rsid w:val="00127C6E"/>
    <w:rsid w:val="00132E2E"/>
    <w:rsid w:val="001366D9"/>
    <w:rsid w:val="001367FD"/>
    <w:rsid w:val="00142C06"/>
    <w:rsid w:val="00146356"/>
    <w:rsid w:val="00146EBC"/>
    <w:rsid w:val="001473CC"/>
    <w:rsid w:val="0015133E"/>
    <w:rsid w:val="00152FA7"/>
    <w:rsid w:val="00155C9F"/>
    <w:rsid w:val="00161A43"/>
    <w:rsid w:val="00170368"/>
    <w:rsid w:val="001729A7"/>
    <w:rsid w:val="001759AA"/>
    <w:rsid w:val="001849B3"/>
    <w:rsid w:val="0019098A"/>
    <w:rsid w:val="00191DC4"/>
    <w:rsid w:val="00193F68"/>
    <w:rsid w:val="0019657E"/>
    <w:rsid w:val="001A6045"/>
    <w:rsid w:val="001A67BC"/>
    <w:rsid w:val="001B1999"/>
    <w:rsid w:val="001B63C8"/>
    <w:rsid w:val="001C1F55"/>
    <w:rsid w:val="001D52EC"/>
    <w:rsid w:val="001D6AE1"/>
    <w:rsid w:val="001D72C6"/>
    <w:rsid w:val="001F1C5A"/>
    <w:rsid w:val="00200609"/>
    <w:rsid w:val="00202FCD"/>
    <w:rsid w:val="00211E00"/>
    <w:rsid w:val="002162C5"/>
    <w:rsid w:val="002246A9"/>
    <w:rsid w:val="00225BF0"/>
    <w:rsid w:val="00234C49"/>
    <w:rsid w:val="002352E5"/>
    <w:rsid w:val="00241D14"/>
    <w:rsid w:val="00253F46"/>
    <w:rsid w:val="00267446"/>
    <w:rsid w:val="0026755B"/>
    <w:rsid w:val="00270F12"/>
    <w:rsid w:val="002740E5"/>
    <w:rsid w:val="00285BB9"/>
    <w:rsid w:val="00285DD2"/>
    <w:rsid w:val="00286FE9"/>
    <w:rsid w:val="0029546C"/>
    <w:rsid w:val="002B700F"/>
    <w:rsid w:val="002C01A9"/>
    <w:rsid w:val="002C031D"/>
    <w:rsid w:val="002D5E25"/>
    <w:rsid w:val="002D79D6"/>
    <w:rsid w:val="002E6DFF"/>
    <w:rsid w:val="002F2F6D"/>
    <w:rsid w:val="00311DB7"/>
    <w:rsid w:val="00345102"/>
    <w:rsid w:val="00350F0D"/>
    <w:rsid w:val="0035455C"/>
    <w:rsid w:val="00357B60"/>
    <w:rsid w:val="00357E92"/>
    <w:rsid w:val="00365934"/>
    <w:rsid w:val="00366062"/>
    <w:rsid w:val="003665B6"/>
    <w:rsid w:val="0036775B"/>
    <w:rsid w:val="00377EC6"/>
    <w:rsid w:val="003911C8"/>
    <w:rsid w:val="00395837"/>
    <w:rsid w:val="003A54CE"/>
    <w:rsid w:val="003A73C8"/>
    <w:rsid w:val="003B3F87"/>
    <w:rsid w:val="003C071E"/>
    <w:rsid w:val="003C3DF8"/>
    <w:rsid w:val="003C7603"/>
    <w:rsid w:val="003D0B0A"/>
    <w:rsid w:val="003D5F43"/>
    <w:rsid w:val="003E746F"/>
    <w:rsid w:val="003F18EB"/>
    <w:rsid w:val="00415865"/>
    <w:rsid w:val="00424619"/>
    <w:rsid w:val="00450600"/>
    <w:rsid w:val="00453E5B"/>
    <w:rsid w:val="00460FB8"/>
    <w:rsid w:val="00465CB5"/>
    <w:rsid w:val="004700F5"/>
    <w:rsid w:val="00476BC6"/>
    <w:rsid w:val="004834D8"/>
    <w:rsid w:val="0049193C"/>
    <w:rsid w:val="004947AD"/>
    <w:rsid w:val="00494AD8"/>
    <w:rsid w:val="004A38CD"/>
    <w:rsid w:val="004B18A3"/>
    <w:rsid w:val="004C6C2D"/>
    <w:rsid w:val="004D7A5E"/>
    <w:rsid w:val="004E3593"/>
    <w:rsid w:val="004F0A94"/>
    <w:rsid w:val="004F1591"/>
    <w:rsid w:val="004F1CDA"/>
    <w:rsid w:val="004F4E39"/>
    <w:rsid w:val="004F6559"/>
    <w:rsid w:val="0050097C"/>
    <w:rsid w:val="005068AC"/>
    <w:rsid w:val="0051584C"/>
    <w:rsid w:val="0052347D"/>
    <w:rsid w:val="00527488"/>
    <w:rsid w:val="00545A8C"/>
    <w:rsid w:val="00555137"/>
    <w:rsid w:val="00556E3E"/>
    <w:rsid w:val="0056133C"/>
    <w:rsid w:val="005626C1"/>
    <w:rsid w:val="00566A58"/>
    <w:rsid w:val="0057665E"/>
    <w:rsid w:val="00592B21"/>
    <w:rsid w:val="00596831"/>
    <w:rsid w:val="005A794B"/>
    <w:rsid w:val="005B2039"/>
    <w:rsid w:val="005B5883"/>
    <w:rsid w:val="005C68A7"/>
    <w:rsid w:val="005D3DB8"/>
    <w:rsid w:val="005E0FA5"/>
    <w:rsid w:val="005F1340"/>
    <w:rsid w:val="006045F2"/>
    <w:rsid w:val="00607C31"/>
    <w:rsid w:val="006136D5"/>
    <w:rsid w:val="00614B99"/>
    <w:rsid w:val="0062700C"/>
    <w:rsid w:val="00627C93"/>
    <w:rsid w:val="00630739"/>
    <w:rsid w:val="00630F05"/>
    <w:rsid w:val="00632731"/>
    <w:rsid w:val="006443B0"/>
    <w:rsid w:val="00644B68"/>
    <w:rsid w:val="00651124"/>
    <w:rsid w:val="00653391"/>
    <w:rsid w:val="00671097"/>
    <w:rsid w:val="0067224F"/>
    <w:rsid w:val="00672F79"/>
    <w:rsid w:val="00676ACF"/>
    <w:rsid w:val="00681394"/>
    <w:rsid w:val="006814B9"/>
    <w:rsid w:val="006870C6"/>
    <w:rsid w:val="00687F81"/>
    <w:rsid w:val="00693F59"/>
    <w:rsid w:val="006A08CF"/>
    <w:rsid w:val="006A3620"/>
    <w:rsid w:val="006A5839"/>
    <w:rsid w:val="006B08FC"/>
    <w:rsid w:val="006C1A1D"/>
    <w:rsid w:val="006C47CB"/>
    <w:rsid w:val="006D3A2B"/>
    <w:rsid w:val="006D62E5"/>
    <w:rsid w:val="006E294F"/>
    <w:rsid w:val="006E2C33"/>
    <w:rsid w:val="006E524D"/>
    <w:rsid w:val="006F0BBF"/>
    <w:rsid w:val="0070148A"/>
    <w:rsid w:val="007042D4"/>
    <w:rsid w:val="007044F3"/>
    <w:rsid w:val="00720A42"/>
    <w:rsid w:val="0072183C"/>
    <w:rsid w:val="007255F3"/>
    <w:rsid w:val="0073206F"/>
    <w:rsid w:val="00740B68"/>
    <w:rsid w:val="00741B65"/>
    <w:rsid w:val="007441EE"/>
    <w:rsid w:val="0075083C"/>
    <w:rsid w:val="00754C7A"/>
    <w:rsid w:val="007604B6"/>
    <w:rsid w:val="00760511"/>
    <w:rsid w:val="007613E7"/>
    <w:rsid w:val="00775A18"/>
    <w:rsid w:val="007A0C36"/>
    <w:rsid w:val="007A2EE8"/>
    <w:rsid w:val="007B5E33"/>
    <w:rsid w:val="007C083C"/>
    <w:rsid w:val="007C1D29"/>
    <w:rsid w:val="007D250F"/>
    <w:rsid w:val="007D48DD"/>
    <w:rsid w:val="007E30D3"/>
    <w:rsid w:val="007E5742"/>
    <w:rsid w:val="007E5B87"/>
    <w:rsid w:val="007F0B3C"/>
    <w:rsid w:val="007F1301"/>
    <w:rsid w:val="007F3CF1"/>
    <w:rsid w:val="008002EE"/>
    <w:rsid w:val="00806C04"/>
    <w:rsid w:val="00826371"/>
    <w:rsid w:val="00833AE5"/>
    <w:rsid w:val="0084175E"/>
    <w:rsid w:val="00841CB3"/>
    <w:rsid w:val="008453C2"/>
    <w:rsid w:val="00850534"/>
    <w:rsid w:val="00850CF1"/>
    <w:rsid w:val="0085488E"/>
    <w:rsid w:val="00883280"/>
    <w:rsid w:val="00887E23"/>
    <w:rsid w:val="00891BD3"/>
    <w:rsid w:val="00892BC6"/>
    <w:rsid w:val="008A6C0B"/>
    <w:rsid w:val="008B09FD"/>
    <w:rsid w:val="008B0E0F"/>
    <w:rsid w:val="008B1499"/>
    <w:rsid w:val="008B3F9C"/>
    <w:rsid w:val="008B6260"/>
    <w:rsid w:val="008B69B0"/>
    <w:rsid w:val="008C7A4D"/>
    <w:rsid w:val="008D04E9"/>
    <w:rsid w:val="008D0577"/>
    <w:rsid w:val="008D7C72"/>
    <w:rsid w:val="008E1F8D"/>
    <w:rsid w:val="008F1C72"/>
    <w:rsid w:val="008F30F6"/>
    <w:rsid w:val="008F435A"/>
    <w:rsid w:val="008F4BEE"/>
    <w:rsid w:val="00906F66"/>
    <w:rsid w:val="00912EAE"/>
    <w:rsid w:val="009149C2"/>
    <w:rsid w:val="00922907"/>
    <w:rsid w:val="009263E6"/>
    <w:rsid w:val="00933C35"/>
    <w:rsid w:val="00934409"/>
    <w:rsid w:val="0094631A"/>
    <w:rsid w:val="00950653"/>
    <w:rsid w:val="009562D2"/>
    <w:rsid w:val="009645CF"/>
    <w:rsid w:val="00965677"/>
    <w:rsid w:val="00965BB3"/>
    <w:rsid w:val="00971A0C"/>
    <w:rsid w:val="009764E2"/>
    <w:rsid w:val="009807A3"/>
    <w:rsid w:val="00981F82"/>
    <w:rsid w:val="009919AA"/>
    <w:rsid w:val="009B65BF"/>
    <w:rsid w:val="009C6169"/>
    <w:rsid w:val="009C68AF"/>
    <w:rsid w:val="009D14B1"/>
    <w:rsid w:val="009D2954"/>
    <w:rsid w:val="009E0735"/>
    <w:rsid w:val="009E172D"/>
    <w:rsid w:val="009E4157"/>
    <w:rsid w:val="009F29B1"/>
    <w:rsid w:val="009F7ABA"/>
    <w:rsid w:val="009F7F68"/>
    <w:rsid w:val="00A006AA"/>
    <w:rsid w:val="00A03806"/>
    <w:rsid w:val="00A0474A"/>
    <w:rsid w:val="00A130EF"/>
    <w:rsid w:val="00A22E77"/>
    <w:rsid w:val="00A249B9"/>
    <w:rsid w:val="00A31D3E"/>
    <w:rsid w:val="00A3542F"/>
    <w:rsid w:val="00A40E1E"/>
    <w:rsid w:val="00A508FF"/>
    <w:rsid w:val="00A54469"/>
    <w:rsid w:val="00A61E99"/>
    <w:rsid w:val="00A647A5"/>
    <w:rsid w:val="00A71FC3"/>
    <w:rsid w:val="00A74A7B"/>
    <w:rsid w:val="00A822F5"/>
    <w:rsid w:val="00A87AA5"/>
    <w:rsid w:val="00A87CE3"/>
    <w:rsid w:val="00A94FBE"/>
    <w:rsid w:val="00A971E6"/>
    <w:rsid w:val="00A97FC2"/>
    <w:rsid w:val="00AA077E"/>
    <w:rsid w:val="00AA5B73"/>
    <w:rsid w:val="00AC3330"/>
    <w:rsid w:val="00AC4031"/>
    <w:rsid w:val="00AD3A73"/>
    <w:rsid w:val="00AF3F99"/>
    <w:rsid w:val="00B145F0"/>
    <w:rsid w:val="00B25821"/>
    <w:rsid w:val="00B3471F"/>
    <w:rsid w:val="00B3483E"/>
    <w:rsid w:val="00B41FFA"/>
    <w:rsid w:val="00B444A3"/>
    <w:rsid w:val="00B568F3"/>
    <w:rsid w:val="00B57EF1"/>
    <w:rsid w:val="00B63317"/>
    <w:rsid w:val="00B65354"/>
    <w:rsid w:val="00B6752C"/>
    <w:rsid w:val="00B70029"/>
    <w:rsid w:val="00B76E9F"/>
    <w:rsid w:val="00B8626B"/>
    <w:rsid w:val="00B975EF"/>
    <w:rsid w:val="00BA4F29"/>
    <w:rsid w:val="00BB0FE6"/>
    <w:rsid w:val="00BB2C5D"/>
    <w:rsid w:val="00BB688C"/>
    <w:rsid w:val="00BD77BC"/>
    <w:rsid w:val="00BE0067"/>
    <w:rsid w:val="00BE51E0"/>
    <w:rsid w:val="00BE560B"/>
    <w:rsid w:val="00C01E2C"/>
    <w:rsid w:val="00C03D03"/>
    <w:rsid w:val="00C10110"/>
    <w:rsid w:val="00C12D8F"/>
    <w:rsid w:val="00C132BA"/>
    <w:rsid w:val="00C17EB8"/>
    <w:rsid w:val="00C20A12"/>
    <w:rsid w:val="00C20C68"/>
    <w:rsid w:val="00C212E2"/>
    <w:rsid w:val="00C3554C"/>
    <w:rsid w:val="00C36E60"/>
    <w:rsid w:val="00C429F2"/>
    <w:rsid w:val="00C47BE4"/>
    <w:rsid w:val="00C50AA2"/>
    <w:rsid w:val="00C60873"/>
    <w:rsid w:val="00C84703"/>
    <w:rsid w:val="00C931B3"/>
    <w:rsid w:val="00C979BD"/>
    <w:rsid w:val="00CA1C95"/>
    <w:rsid w:val="00CD36E9"/>
    <w:rsid w:val="00CE18DD"/>
    <w:rsid w:val="00CE323A"/>
    <w:rsid w:val="00CF3D28"/>
    <w:rsid w:val="00D04825"/>
    <w:rsid w:val="00D12D4A"/>
    <w:rsid w:val="00D14709"/>
    <w:rsid w:val="00D2240A"/>
    <w:rsid w:val="00D2357C"/>
    <w:rsid w:val="00D30E69"/>
    <w:rsid w:val="00D34F43"/>
    <w:rsid w:val="00D35473"/>
    <w:rsid w:val="00D35BCC"/>
    <w:rsid w:val="00D375A4"/>
    <w:rsid w:val="00D50A02"/>
    <w:rsid w:val="00D5798E"/>
    <w:rsid w:val="00D60D60"/>
    <w:rsid w:val="00D61CB5"/>
    <w:rsid w:val="00D6312F"/>
    <w:rsid w:val="00D66302"/>
    <w:rsid w:val="00D6634F"/>
    <w:rsid w:val="00D74B21"/>
    <w:rsid w:val="00D75847"/>
    <w:rsid w:val="00D94DF8"/>
    <w:rsid w:val="00DA21FC"/>
    <w:rsid w:val="00DB3600"/>
    <w:rsid w:val="00DB3B8C"/>
    <w:rsid w:val="00DB596E"/>
    <w:rsid w:val="00DB7F0C"/>
    <w:rsid w:val="00DC3474"/>
    <w:rsid w:val="00DF7977"/>
    <w:rsid w:val="00E04A1A"/>
    <w:rsid w:val="00E120EE"/>
    <w:rsid w:val="00E260EF"/>
    <w:rsid w:val="00E36677"/>
    <w:rsid w:val="00E40D8B"/>
    <w:rsid w:val="00E41A6E"/>
    <w:rsid w:val="00E573B9"/>
    <w:rsid w:val="00E679E7"/>
    <w:rsid w:val="00E77B49"/>
    <w:rsid w:val="00E83976"/>
    <w:rsid w:val="00E86429"/>
    <w:rsid w:val="00E95E3D"/>
    <w:rsid w:val="00E962C5"/>
    <w:rsid w:val="00E96738"/>
    <w:rsid w:val="00E96BA5"/>
    <w:rsid w:val="00EA3184"/>
    <w:rsid w:val="00EA4F63"/>
    <w:rsid w:val="00EA70AE"/>
    <w:rsid w:val="00EB0FD9"/>
    <w:rsid w:val="00EB23AA"/>
    <w:rsid w:val="00EB4D3B"/>
    <w:rsid w:val="00EB6235"/>
    <w:rsid w:val="00EB6B15"/>
    <w:rsid w:val="00EC518D"/>
    <w:rsid w:val="00ED1014"/>
    <w:rsid w:val="00ED1387"/>
    <w:rsid w:val="00EE0B0A"/>
    <w:rsid w:val="00EE268C"/>
    <w:rsid w:val="00F018EA"/>
    <w:rsid w:val="00F05DF6"/>
    <w:rsid w:val="00F14341"/>
    <w:rsid w:val="00F15CB5"/>
    <w:rsid w:val="00F35898"/>
    <w:rsid w:val="00F43244"/>
    <w:rsid w:val="00F4348A"/>
    <w:rsid w:val="00F4376F"/>
    <w:rsid w:val="00F44931"/>
    <w:rsid w:val="00F4714B"/>
    <w:rsid w:val="00F61819"/>
    <w:rsid w:val="00F92B78"/>
    <w:rsid w:val="00F94509"/>
    <w:rsid w:val="00FA280F"/>
    <w:rsid w:val="00FB0A8D"/>
    <w:rsid w:val="00FB31F6"/>
    <w:rsid w:val="00FB3D1D"/>
    <w:rsid w:val="00FD2414"/>
    <w:rsid w:val="1B173A96"/>
    <w:rsid w:val="1CBF416C"/>
    <w:rsid w:val="23025209"/>
    <w:rsid w:val="26EB2FDA"/>
    <w:rsid w:val="292B0093"/>
    <w:rsid w:val="442F6D78"/>
    <w:rsid w:val="52583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semiHidden/>
    <w:unhideWhenUsed/>
    <w:qFormat/>
    <w:uiPriority w:val="99"/>
    <w:pPr>
      <w:tabs>
        <w:tab w:val="center" w:pos="4153"/>
        <w:tab w:val="right" w:pos="8306"/>
      </w:tabs>
      <w:snapToGrid w:val="0"/>
      <w:jc w:val="left"/>
    </w:pPr>
    <w:rPr>
      <w:sz w:val="18"/>
      <w:szCs w:val="18"/>
    </w:rPr>
  </w:style>
  <w:style w:type="paragraph" w:styleId="3">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段 Char Char"/>
    <w:basedOn w:val="6"/>
    <w:link w:val="8"/>
    <w:qFormat/>
    <w:uiPriority w:val="0"/>
    <w:rPr>
      <w:rFonts w:ascii="宋体"/>
    </w:rPr>
  </w:style>
  <w:style w:type="paragraph" w:customStyle="1" w:styleId="8">
    <w:name w:val="段"/>
    <w:link w:val="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其他标准标志"/>
    <w:basedOn w:val="1"/>
    <w:qFormat/>
    <w:uiPriority w:val="0"/>
    <w:pPr>
      <w:widowControl/>
      <w:shd w:val="solid" w:color="FFFFFF" w:fill="FFFFFF"/>
      <w:spacing w:line="0" w:lineRule="atLeast"/>
      <w:jc w:val="right"/>
    </w:pPr>
    <w:rPr>
      <w:b/>
      <w:w w:val="130"/>
      <w:kern w:val="0"/>
      <w:sz w:val="96"/>
      <w:szCs w:val="96"/>
    </w:rPr>
  </w:style>
  <w:style w:type="paragraph" w:customStyle="1" w:styleId="1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1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character" w:customStyle="1" w:styleId="16">
    <w:name w:val="页眉 Char"/>
    <w:basedOn w:val="6"/>
    <w:link w:val="3"/>
    <w:semiHidden/>
    <w:qFormat/>
    <w:uiPriority w:val="99"/>
    <w:rPr>
      <w:rFonts w:ascii="Times New Roman" w:hAnsi="Times New Roman" w:eastAsia="宋体" w:cs="Times New Roman"/>
      <w:sz w:val="18"/>
      <w:szCs w:val="18"/>
    </w:rPr>
  </w:style>
  <w:style w:type="character" w:customStyle="1" w:styleId="17">
    <w:name w:val="页脚 Char"/>
    <w:basedOn w:val="6"/>
    <w:link w:val="2"/>
    <w:semiHidden/>
    <w:qFormat/>
    <w:uiPriority w:val="99"/>
    <w:rPr>
      <w:rFonts w:ascii="Times New Roman" w:hAnsi="Times New Roman" w:eastAsia="宋体" w:cs="Times New Roman"/>
      <w:sz w:val="18"/>
      <w:szCs w:val="18"/>
    </w:rPr>
  </w:style>
  <w:style w:type="paragraph" w:customStyle="1" w:styleId="18">
    <w:name w:val="列出段落1"/>
    <w:basedOn w:val="1"/>
    <w:qFormat/>
    <w:uiPriority w:val="99"/>
    <w:pPr>
      <w:ind w:firstLine="420" w:firstLineChars="200"/>
    </w:pPr>
    <w:rPr>
      <w:rFonts w:ascii="Calibri" w:hAnsi="Calibri"/>
      <w:szCs w:val="22"/>
    </w:rPr>
  </w:style>
  <w:style w:type="paragraph" w:customStyle="1" w:styleId="19">
    <w:name w:val="p0"/>
    <w:basedOn w:val="1"/>
    <w:qFormat/>
    <w:uiPriority w:val="0"/>
    <w:pPr>
      <w:widowControl/>
      <w:ind w:left="900" w:hanging="500"/>
    </w:pPr>
    <w:rPr>
      <w:kern w:val="0"/>
      <w:szCs w:val="21"/>
    </w:rPr>
  </w:style>
  <w:style w:type="paragraph" w:customStyle="1" w:styleId="20">
    <w:name w:val="p19"/>
    <w:basedOn w:val="1"/>
    <w:qFormat/>
    <w:uiPriority w:val="0"/>
    <w:pPr>
      <w:widowControl/>
      <w:spacing w:line="680" w:lineRule="atLeast"/>
      <w:jc w:val="center"/>
    </w:pPr>
    <w:rPr>
      <w:rFonts w:hint="eastAsia" w:ascii="黑体" w:hAnsi="宋体" w:eastAsia="黑体"/>
      <w:kern w:val="0"/>
      <w:sz w:val="52"/>
      <w:szCs w:val="52"/>
    </w:rPr>
  </w:style>
  <w:style w:type="paragraph" w:customStyle="1" w:styleId="21">
    <w:name w:val="二级条标题"/>
    <w:basedOn w:val="22"/>
    <w:next w:val="8"/>
    <w:qFormat/>
    <w:uiPriority w:val="0"/>
    <w:pPr>
      <w:tabs>
        <w:tab w:val="left" w:pos="2160"/>
        <w:tab w:val="left" w:pos="2880"/>
      </w:tabs>
      <w:ind w:left="2880"/>
      <w:outlineLvl w:val="3"/>
    </w:pPr>
  </w:style>
  <w:style w:type="paragraph" w:customStyle="1" w:styleId="22">
    <w:name w:val="一级条标题"/>
    <w:next w:val="8"/>
    <w:qFormat/>
    <w:uiPriority w:val="0"/>
    <w:pPr>
      <w:tabs>
        <w:tab w:val="left" w:pos="2160"/>
      </w:tabs>
      <w:ind w:left="2160" w:hanging="720"/>
      <w:outlineLvl w:val="2"/>
    </w:pPr>
    <w:rPr>
      <w:rFonts w:ascii="Times New Roman" w:hAnsi="Times New Roman" w:eastAsia="黑体" w:cs="Times New Roman"/>
      <w:sz w:val="21"/>
      <w:lang w:val="en-US" w:eastAsia="zh-CN" w:bidi="ar-SA"/>
    </w:rPr>
  </w:style>
  <w:style w:type="paragraph" w:customStyle="1" w:styleId="23">
    <w:name w:val="p20"/>
    <w:basedOn w:val="1"/>
    <w:qFormat/>
    <w:uiPriority w:val="0"/>
    <w:pPr>
      <w:widowControl/>
      <w:ind w:firstLine="420"/>
    </w:pPr>
    <w:rPr>
      <w:rFonts w:hint="eastAsia" w:ascii="宋体" w:hAnsi="宋体"/>
      <w:kern w:val="0"/>
      <w:szCs w:val="21"/>
    </w:rPr>
  </w:style>
  <w:style w:type="paragraph" w:customStyle="1" w:styleId="24">
    <w:name w:val="章标题"/>
    <w:next w:val="8"/>
    <w:qFormat/>
    <w:uiPriority w:val="0"/>
    <w:pPr>
      <w:tabs>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25">
    <w:name w:val="p21"/>
    <w:basedOn w:val="1"/>
    <w:qFormat/>
    <w:uiPriority w:val="0"/>
    <w:pPr>
      <w:widowControl/>
      <w:jc w:val="left"/>
    </w:pPr>
    <w:rPr>
      <w:kern w:val="0"/>
      <w:sz w:val="20"/>
      <w:szCs w:val="2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73D75-0C34-4645-91C5-A9540A678C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380</Words>
  <Characters>2167</Characters>
  <Lines>18</Lines>
  <Paragraphs>5</Paragraphs>
  <TotalTime>28</TotalTime>
  <ScaleCrop>false</ScaleCrop>
  <LinksUpToDate>false</LinksUpToDate>
  <CharactersWithSpaces>2542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2017-03-14T01:24:00Z</dcterms:created>
  <dc:creator>Windows 用户</dc:creator>
  <cp:lastModifiedBy>Administrator</cp:lastModifiedBy>
  <dcterms:modified xsi:type="dcterms:W3CDTF">2021-01-22T02:39:42Z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