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pict>
          <v:shape id="_x0000_s1061" o:spid="_x0000_s1061" style="position:absolute;left:0pt;margin-left:66.2pt;margin-top:728.35pt;height:0pt;width:494pt;mso-position-horizontal-relative:page;mso-position-vertical-relative:page;z-index:1024;mso-width-relative:page;mso-height-relative:page;" filled="f" coordsize="9881,0" path="m0,0l9881,0e">
            <v:fill on="f" focussize="0,0"/>
            <v:stroke/>
            <v:imagedata o:title=""/>
            <o:lock v:ext="edit"/>
          </v:shape>
        </w:pict>
      </w:r>
      <w:r>
        <w:pict>
          <v:shape id="_x0000_s1038" o:spid="_x0000_s1038" style="position:absolute;left:0pt;margin-left:65pt;margin-top:219.2pt;height:0pt;width:494pt;mso-position-horizontal-relative:page;mso-position-vertical-relative:page;z-index:1024;mso-width-relative:page;mso-height-relative:page;" filled="f" coordsize="9881,0" path="m0,0l9881,0e">
            <v:fill on="f" focussize="0,0"/>
            <v:stroke/>
            <v:imagedata o:title=""/>
            <o:lock v:ext="edit"/>
          </v:shape>
        </w:pict>
      </w:r>
      <w:r>
        <w:pict>
          <v:shape id="fmFrame2" o:spid="_x0000_s1037" o:spt="202" type="#_x0000_t202" style="position:absolute;left:0pt;margin-left:-9.85pt;margin-top:88.05pt;height:30.8pt;width:499.2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87"/>
                    <w:rPr>
                      <w:sz w:val="48"/>
                      <w:szCs w:val="48"/>
                    </w:rPr>
                  </w:pPr>
                  <w:r>
                    <w:rPr>
                      <w:rFonts w:hint="eastAsia"/>
                      <w:sz w:val="48"/>
                      <w:szCs w:val="48"/>
                    </w:rPr>
                    <w:t>石阡县大沙坝乡金星农牧专业合作社企业标准</w:t>
                  </w:r>
                </w:p>
              </w:txbxContent>
            </v:textbox>
            <w10:anchorlock/>
          </v:shape>
        </w:pict>
      </w:r>
      <w:r>
        <w:pict>
          <v:line id="_x0000_s1035" o:spid="_x0000_s1035" o:spt="20" style="position:absolute;left:0pt;margin-left:0pt;margin-top:700pt;height:0pt;width:482pt;z-index:1024;mso-width-relative:page;mso-height-relative:page;" stroked="t" coordsize="21600,21600">
            <v:path arrowok="t"/>
            <v:fill focussize="0,0"/>
            <v:stroke weight="1pt" color="#FFFFFF"/>
            <v:imagedata o:title=""/>
            <o:lock v:ext="edit"/>
          </v:line>
        </w:pict>
      </w:r>
      <w:r>
        <w:pict>
          <v:shape id="fmFrame7" o:spid="_x0000_s1033" o:spt="202" type="#_x0000_t202" style="position:absolute;left:0pt;margin-left:0pt;margin-top:717.2pt;height:28.6pt;width:481.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88"/>
                    <w:rPr>
                      <w:sz w:val="28"/>
                      <w:szCs w:val="28"/>
                    </w:rPr>
                  </w:pPr>
                  <w:r>
                    <w:rPr>
                      <w:rFonts w:hint="eastAsia"/>
                      <w:sz w:val="28"/>
                      <w:szCs w:val="28"/>
                    </w:rPr>
                    <w:t>石阡县大沙坝乡金星农牧专业合作社</w:t>
                  </w:r>
                  <w:r>
                    <w:rPr>
                      <w:rStyle w:val="60"/>
                      <w:rFonts w:hint="eastAsia"/>
                      <w:szCs w:val="28"/>
                    </w:rPr>
                    <w:t xml:space="preserve"> 发布</w:t>
                  </w:r>
                </w:p>
              </w:txbxContent>
            </v:textbox>
            <w10:anchorlock/>
          </v:shape>
        </w:pict>
      </w:r>
      <w:r>
        <w:pict>
          <v:shape id="fmFrame6" o:spid="_x0000_s1032" o:spt="202" type="#_x0000_t202" style="position:absolute;left:0pt;margin-left:322.9pt;margin-top:674.3pt;height:24.6pt;width:15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90"/>
                    <w:rPr>
                      <w:rFonts w:ascii="黑体"/>
                    </w:rPr>
                  </w:pPr>
                  <w:r>
                    <w:rPr>
                      <w:rFonts w:hint="eastAsia" w:ascii="黑体"/>
                    </w:rPr>
                    <w:t>2019-10-21实施</w:t>
                  </w:r>
                </w:p>
              </w:txbxContent>
            </v:textbox>
            <w10:anchorlock/>
          </v:shape>
        </w:pict>
      </w:r>
      <w:r>
        <w:pict>
          <v:shape id="fmFrame5" o:spid="_x0000_s1031" o:spt="202" type="#_x0000_t202" style="position:absolute;left:0pt;margin-left:0pt;margin-top:674.3pt;height:24.6pt;width:159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62"/>
                    <w:rPr>
                      <w:rFonts w:ascii="黑体"/>
                    </w:rPr>
                  </w:pPr>
                  <w:r>
                    <w:rPr>
                      <w:rFonts w:hint="eastAsia" w:ascii="黑体"/>
                    </w:rPr>
                    <w:t>2019-10-16发布</w:t>
                  </w:r>
                </w:p>
              </w:txbxContent>
            </v:textbox>
            <w10:anchorlock/>
          </v:shape>
        </w:pict>
      </w:r>
      <w:r>
        <w:pict>
          <v:shape id="fmFrame4" o:spid="_x0000_s1030" o:spt="202" type="#_x0000_t202" style="position:absolute;left:0pt;margin-left:0pt;margin-top:286.25pt;height:127.15pt;width:470pt;mso-position-horizontal-relative:margin;mso-position-vertical-relative:margin;z-index:1024;mso-width-relative:page;mso-height-relative:page;" stroked="f" coordsize="21600,21600">
            <v:path/>
            <v:fill focussize="0,0"/>
            <v:stroke on="f" joinstyle="miter"/>
            <v:imagedata o:title=""/>
            <o:lock v:ext="edit"/>
            <v:textbox inset="0mm,0mm,0mm,0mm">
              <w:txbxContent>
                <w:p>
                  <w:pPr>
                    <w:pStyle w:val="66"/>
                    <w:rPr>
                      <w:rFonts w:hAnsi="宋体"/>
                    </w:rPr>
                  </w:pPr>
                  <w:r>
                    <w:rPr>
                      <w:rFonts w:hint="eastAsia" w:hAnsi="宋体"/>
                    </w:rPr>
                    <w:t>红薯粉</w:t>
                  </w:r>
                </w:p>
                <w:p>
                  <w:pPr>
                    <w:pStyle w:val="68"/>
                    <w:rPr>
                      <w:rFonts w:ascii="黑体" w:eastAsia="黑体"/>
                      <w:sz w:val="28"/>
                      <w:szCs w:val="28"/>
                    </w:rPr>
                  </w:pPr>
                </w:p>
              </w:txbxContent>
            </v:textbox>
            <w10:anchorlock/>
          </v:shape>
        </w:pict>
      </w:r>
      <w:r>
        <w:pict>
          <v:group id="_x0000_s1040" o:spid="_x0000_s1040" o:spt="203" style="height:280.8pt;width:477.75pt;" coordorigin="2339,11485" coordsize="7140,4212" editas="canvas">
            <o:lock v:ext="edit"/>
            <v:shape id="_x0000_s1039" o:spid="_x0000_s1039" o:spt="75" type="#_x0000_t75" style="position:absolute;left:2339;top:11485;height:4212;width:7140;" filled="f" o:preferrelative="f" stroked="f" coordsize="21600,21600">
              <v:fill on="f" focussize="0,0"/>
              <v:stroke on="f" joinstyle="miter"/>
              <v:imagedata o:title=""/>
              <o:lock v:ext="edit" text="t" aspectratio="t"/>
            </v:shape>
            <v:shape id="fmFrame3" o:spid="_x0000_s1029" o:spt="202" type="#_x0000_t202" style="position:absolute;left:2651;top:13737;height:684;width:6828;" stroked="f" coordsize="21600,21600">
              <v:path/>
              <v:fill focussize="0,0"/>
              <v:stroke on="f" joinstyle="miter"/>
              <v:imagedata o:title=""/>
              <o:lock v:ext="edit"/>
              <v:textbox inset="0mm,0mm,0mm,0mm">
                <w:txbxContent>
                  <w:p>
                    <w:pPr>
                      <w:pStyle w:val="63"/>
                      <w:adjustRightInd w:val="0"/>
                      <w:snapToGrid w:val="0"/>
                      <w:ind w:right="280"/>
                      <w:rPr>
                        <w:rFonts w:ascii="黑体" w:eastAsia="黑体"/>
                      </w:rPr>
                    </w:pPr>
                    <w:r>
                      <w:rPr>
                        <w:rFonts w:hint="eastAsia" w:ascii="黑体" w:eastAsia="黑体"/>
                      </w:rPr>
                      <w:t>Q/JXNM</w:t>
                    </w:r>
                    <w:r>
                      <w:rPr>
                        <w:rFonts w:hint="eastAsia" w:ascii="黑体" w:eastAsia="黑体"/>
                        <w:color w:val="000000"/>
                      </w:rPr>
                      <w:t xml:space="preserve"> 0001S</w:t>
                    </w:r>
                    <w:r>
                      <w:rPr>
                        <w:rFonts w:hint="eastAsia" w:ascii="黑体" w:eastAsia="黑体"/>
                      </w:rPr>
                      <w:t>-2019</w:t>
                    </w:r>
                  </w:p>
                  <w:p>
                    <w:pPr>
                      <w:pStyle w:val="63"/>
                      <w:rPr>
                        <w:rFonts w:ascii="黑体" w:eastAsia="黑体"/>
                      </w:rPr>
                    </w:pPr>
                  </w:p>
                  <w:p>
                    <w:pPr>
                      <w:pStyle w:val="63"/>
                      <w:rPr>
                        <w:rFonts w:ascii="黑体" w:eastAsia="黑体"/>
                      </w:rPr>
                    </w:pPr>
                  </w:p>
                </w:txbxContent>
              </v:textbox>
            </v:shape>
            <v:shape id="fmFrame8" o:spid="_x0000_s1028" o:spt="202" type="#_x0000_t202" style="position:absolute;left:4329;top:11495;height:850;width:5150;" stroked="f" coordsize="21600,21600">
              <v:path/>
              <v:fill focussize="0,0"/>
              <v:stroke on="f" joinstyle="miter"/>
              <v:imagedata o:title=""/>
              <o:lock v:ext="edit"/>
              <v:textbox inset="0mm,0mm,0mm,0mm">
                <w:txbxContent>
                  <w:p>
                    <w:pPr>
                      <w:pStyle w:val="47"/>
                    </w:pPr>
                    <w:r>
                      <w:t>Q</w:t>
                    </w:r>
                    <w:r>
                      <w:rPr>
                        <w:rFonts w:hint="eastAsia"/>
                      </w:rPr>
                      <w:t>/JXNM</w:t>
                    </w:r>
                  </w:p>
                </w:txbxContent>
              </v:textbox>
            </v:shape>
            <w10:wrap type="none"/>
            <w10:anchorlock/>
          </v:group>
        </w:pict>
      </w:r>
      <w:r>
        <w:pict>
          <v:group id="_x0000_s1059" o:spid="_x0000_s1059" o:spt="203" style="height:280.8pt;width:477.75pt;" coordorigin="2339,1567" coordsize="7140,4212" editas="canvas">
            <o:lock v:ext="edit"/>
            <v:shape id="_x0000_s1058" o:spid="_x0000_s1058" o:spt="75" type="#_x0000_t75" style="position:absolute;left:2339;top:1567;height:4212;width:7140;" filled="f" o:preferrelative="f" stroked="f" coordsize="21600,21600">
              <v:fill on="f" focussize="0,0"/>
              <v:stroke on="f" joinstyle="miter"/>
              <v:imagedata o:title=""/>
              <o:lock v:ext="edit" text="t" aspectratio="t"/>
            </v:shape>
            <w10:wrap type="none"/>
            <w10:anchorlock/>
          </v:group>
        </w:pict>
      </w:r>
    </w:p>
    <w:bookmarkEnd w:id="0"/>
    <w:p>
      <w:pPr>
        <w:pStyle w:val="54"/>
        <w:spacing w:before="600" w:after="600"/>
        <w:rPr>
          <w:rFonts w:hAnsi="宋体"/>
        </w:rPr>
      </w:pPr>
      <w:bookmarkStart w:id="1" w:name="SectionMark2"/>
      <w:r>
        <w:rPr>
          <w:rFonts w:hint="eastAsia" w:hAnsi="宋体"/>
        </w:rPr>
        <w:t>前    言</w:t>
      </w:r>
    </w:p>
    <w:p>
      <w:pPr>
        <w:pStyle w:val="56"/>
        <w:ind w:firstLine="420"/>
        <w:rPr>
          <w:rFonts w:hAnsi="宋体"/>
          <w:color w:val="000000"/>
        </w:rPr>
      </w:pPr>
      <w:r>
        <w:rPr>
          <w:rFonts w:hint="eastAsia" w:hAnsi="宋体"/>
          <w:color w:val="000000"/>
        </w:rPr>
        <w:t>本标准安全性指标按照GB 2713《食品安全国家标准 淀粉制品》、GB 2762《食品安全国家标准 食品中污染物限量》制定，其余指标根据产品实际制定。</w:t>
      </w:r>
    </w:p>
    <w:p>
      <w:pPr>
        <w:pStyle w:val="56"/>
        <w:ind w:firstLine="420"/>
        <w:rPr>
          <w:rFonts w:hAnsi="宋体"/>
        </w:rPr>
      </w:pPr>
      <w:r>
        <w:rPr>
          <w:rFonts w:hint="eastAsia" w:hAnsi="宋体"/>
        </w:rPr>
        <w:t>本标准依据GB/T 1.1-2009《标准化工作导则 第1部分：标准的结构和编写》规则进行编写。</w:t>
      </w:r>
    </w:p>
    <w:p>
      <w:pPr>
        <w:pStyle w:val="56"/>
        <w:ind w:firstLine="420"/>
        <w:rPr>
          <w:rFonts w:hAnsi="宋体"/>
        </w:rPr>
      </w:pPr>
      <w:r>
        <w:rPr>
          <w:rFonts w:hint="eastAsia" w:hAnsi="宋体"/>
        </w:rPr>
        <w:t>本标准由石阡县大沙坝乡金星农牧专业合作社提出。</w:t>
      </w:r>
    </w:p>
    <w:p>
      <w:pPr>
        <w:pStyle w:val="56"/>
        <w:ind w:firstLine="420"/>
        <w:rPr>
          <w:rFonts w:hAnsi="宋体"/>
        </w:rPr>
      </w:pPr>
      <w:r>
        <w:rPr>
          <w:rFonts w:hint="eastAsia" w:hAnsi="宋体"/>
        </w:rPr>
        <w:t>本标准起草单位：石阡县大沙坝乡金星农牧专业合作社。</w:t>
      </w:r>
    </w:p>
    <w:p>
      <w:pPr>
        <w:pStyle w:val="56"/>
        <w:ind w:firstLine="420"/>
        <w:rPr>
          <w:rFonts w:hAnsi="宋体"/>
        </w:rPr>
      </w:pPr>
      <w:r>
        <w:rPr>
          <w:rFonts w:hint="eastAsia" w:hAnsi="宋体"/>
        </w:rPr>
        <w:t>本标准主要起草人：冉凤。</w:t>
      </w:r>
    </w:p>
    <w:p>
      <w:pPr>
        <w:pStyle w:val="56"/>
        <w:ind w:firstLine="420"/>
        <w:rPr>
          <w:rFonts w:hAnsi="宋体"/>
        </w:rPr>
      </w:pPr>
      <w:r>
        <w:rPr>
          <w:rFonts w:hint="eastAsia" w:hAnsi="宋体"/>
        </w:rPr>
        <w:t>本标准发布时间：2019.10.16。</w:t>
      </w:r>
    </w:p>
    <w:p>
      <w:pPr>
        <w:pStyle w:val="56"/>
        <w:ind w:firstLine="420"/>
        <w:rPr>
          <w:color w:val="0000FF"/>
        </w:rPr>
        <w:sectPr>
          <w:headerReference r:id="rId9" w:type="default"/>
          <w:footerReference r:id="rId10" w:type="default"/>
          <w:pgSz w:w="11907" w:h="16839"/>
          <w:pgMar w:top="1418" w:right="1134" w:bottom="1134" w:left="1418" w:header="1418" w:footer="851" w:gutter="0"/>
          <w:pgNumType w:fmt="upperRoman" w:start="1"/>
          <w:cols w:space="425" w:num="1"/>
          <w:docGrid w:type="lines" w:linePitch="312" w:charSpace="0"/>
        </w:sectPr>
      </w:pPr>
    </w:p>
    <w:bookmarkEnd w:id="1"/>
    <w:p>
      <w:pPr>
        <w:pStyle w:val="85"/>
        <w:spacing w:before="600" w:after="600" w:line="240" w:lineRule="auto"/>
        <w:rPr>
          <w:rFonts w:hAnsi="宋体"/>
        </w:rPr>
      </w:pPr>
      <w:bookmarkStart w:id="2" w:name="SectionMark4"/>
      <w:r>
        <w:rPr>
          <w:rFonts w:hint="eastAsia" w:hAnsi="宋体"/>
        </w:rPr>
        <w:t>红薯粉</w:t>
      </w:r>
    </w:p>
    <w:p>
      <w:pPr>
        <w:pStyle w:val="57"/>
        <w:spacing w:beforeLines="100" w:afterLines="100"/>
        <w:rPr>
          <w:rFonts w:hAnsi="宋体"/>
        </w:rPr>
      </w:pPr>
      <w:r>
        <w:rPr>
          <w:rFonts w:hint="eastAsia" w:hAnsi="宋体"/>
        </w:rPr>
        <w:t xml:space="preserve">范围 </w:t>
      </w:r>
    </w:p>
    <w:p>
      <w:pPr>
        <w:pStyle w:val="56"/>
        <w:ind w:firstLine="420"/>
        <w:rPr>
          <w:rFonts w:hAnsi="宋体"/>
          <w:color w:val="FF0000"/>
        </w:rPr>
      </w:pPr>
      <w:r>
        <w:rPr>
          <w:rFonts w:hint="eastAsia" w:hAnsi="宋体"/>
        </w:rPr>
        <w:t>本标准规定了红薯粉的要求、试验方法、</w:t>
      </w:r>
      <w:r>
        <w:rPr>
          <w:rFonts w:hint="eastAsia" w:hAnsi="宋体"/>
          <w:color w:val="000000"/>
        </w:rPr>
        <w:t xml:space="preserve">检验规则、标签标志、包装、运输、贮存和保质期。   </w:t>
      </w:r>
    </w:p>
    <w:p>
      <w:pPr>
        <w:tabs>
          <w:tab w:val="left" w:pos="2970"/>
        </w:tabs>
        <w:ind w:firstLine="420"/>
        <w:rPr>
          <w:rFonts w:ascii="宋体" w:hAnsi="宋体"/>
          <w:color w:val="4BACC6"/>
        </w:rPr>
      </w:pPr>
      <w:r>
        <w:rPr>
          <w:rFonts w:hint="eastAsia" w:ascii="宋体" w:hAnsi="宋体"/>
          <w:color w:val="000000"/>
        </w:rPr>
        <w:t>本标准适用于以红薯淀粉为原料，经打糊、和面、糊化、冷却成型、低温老化、干燥、</w:t>
      </w:r>
      <w:r>
        <w:rPr>
          <w:rFonts w:hint="eastAsia" w:hAnsi="宋体"/>
          <w:color w:val="000000"/>
        </w:rPr>
        <w:t>包装而成的预包装非即食的红薯粉。</w:t>
      </w:r>
    </w:p>
    <w:p>
      <w:pPr>
        <w:pStyle w:val="57"/>
        <w:spacing w:beforeLines="100" w:afterLines="100"/>
        <w:rPr>
          <w:rFonts w:ascii="宋体" w:hAnsi="宋体" w:eastAsia="宋体"/>
          <w:color w:val="FF0000"/>
        </w:rPr>
      </w:pPr>
      <w:r>
        <w:rPr>
          <w:rFonts w:hint="eastAsia" w:hAnsi="宋体"/>
        </w:rPr>
        <w:t xml:space="preserve">规范性引用文件 </w:t>
      </w:r>
      <w:r>
        <w:rPr>
          <w:rFonts w:hint="eastAsia" w:hAnsi="宋体"/>
          <w:color w:val="000000"/>
        </w:rPr>
        <w:t xml:space="preserve">   </w:t>
      </w:r>
    </w:p>
    <w:p>
      <w:pPr>
        <w:ind w:firstLine="420" w:firstLineChars="200"/>
        <w:rPr>
          <w:rFonts w:ascii="宋体" w:hAnsi="宋体"/>
          <w:color w:val="000000"/>
          <w:szCs w:val="21"/>
        </w:rPr>
      </w:pPr>
      <w:r>
        <w:rPr>
          <w:rFonts w:hint="eastAsia" w:ascii="宋体" w:hAnsi="宋体"/>
          <w:color w:val="000000"/>
          <w:szCs w:val="21"/>
        </w:rPr>
        <w:t>下列文件对于本文件的应用是必不可少的。凡是注日期的引用文件，仅所注日期的版本适用于本文件。凡是不注日期的引用文件，其最新版本（包括所有的修改单）适用于本文件。</w:t>
      </w:r>
    </w:p>
    <w:p>
      <w:pPr>
        <w:pStyle w:val="56"/>
        <w:ind w:firstLine="420"/>
        <w:rPr>
          <w:rFonts w:hAnsi="宋体"/>
          <w:color w:val="000000"/>
          <w:szCs w:val="21"/>
        </w:rPr>
      </w:pPr>
      <w:r>
        <w:rPr>
          <w:rFonts w:hAnsi="宋体"/>
          <w:color w:val="000000"/>
          <w:szCs w:val="21"/>
        </w:rPr>
        <w:t>GB/T 191</w:t>
      </w:r>
      <w:r>
        <w:rPr>
          <w:rFonts w:hint="eastAsia" w:hAnsi="宋体"/>
          <w:color w:val="000000"/>
          <w:szCs w:val="21"/>
        </w:rPr>
        <w:t xml:space="preserve">  包装储运图示标志</w:t>
      </w:r>
    </w:p>
    <w:p>
      <w:pPr>
        <w:ind w:firstLine="420" w:firstLineChars="200"/>
        <w:rPr>
          <w:rFonts w:ascii="宋体" w:hAnsi="宋体"/>
          <w:color w:val="000000"/>
          <w:szCs w:val="21"/>
        </w:rPr>
      </w:pPr>
      <w:r>
        <w:rPr>
          <w:rFonts w:hint="eastAsia" w:ascii="宋体" w:hAnsi="宋体"/>
          <w:color w:val="000000"/>
          <w:szCs w:val="21"/>
        </w:rPr>
        <w:t>GB 2760  食品安全国家标准 食品添加剂使用标准</w:t>
      </w:r>
    </w:p>
    <w:p>
      <w:pPr>
        <w:tabs>
          <w:tab w:val="left" w:pos="2970"/>
        </w:tabs>
        <w:ind w:firstLine="407" w:firstLineChars="194"/>
        <w:rPr>
          <w:rFonts w:ascii="宋体" w:hAnsi="宋体"/>
          <w:color w:val="000000"/>
          <w:szCs w:val="21"/>
        </w:rPr>
      </w:pPr>
      <w:r>
        <w:rPr>
          <w:rFonts w:ascii="宋体" w:hAnsi="宋体"/>
          <w:color w:val="000000"/>
          <w:szCs w:val="21"/>
        </w:rPr>
        <w:t xml:space="preserve">GB </w:t>
      </w:r>
      <w:r>
        <w:rPr>
          <w:rFonts w:hint="eastAsia" w:ascii="宋体" w:hAnsi="宋体"/>
          <w:color w:val="000000"/>
          <w:szCs w:val="21"/>
        </w:rPr>
        <w:t>2762  食品安全国家标准</w:t>
      </w:r>
      <w:r>
        <w:rPr>
          <w:rFonts w:ascii="宋体" w:hAnsi="宋体"/>
          <w:color w:val="000000"/>
          <w:szCs w:val="21"/>
        </w:rPr>
        <w:t xml:space="preserve"> </w:t>
      </w:r>
      <w:r>
        <w:rPr>
          <w:rFonts w:hint="eastAsia" w:ascii="宋体" w:hAnsi="宋体"/>
          <w:color w:val="000000"/>
          <w:szCs w:val="21"/>
        </w:rPr>
        <w:t xml:space="preserve">食品中污染物限量 </w:t>
      </w:r>
    </w:p>
    <w:p>
      <w:pPr>
        <w:tabs>
          <w:tab w:val="left" w:pos="2970"/>
        </w:tabs>
        <w:ind w:firstLine="407" w:firstLineChars="194"/>
        <w:rPr>
          <w:rFonts w:ascii="宋体" w:hAnsi="宋体"/>
          <w:color w:val="000000"/>
          <w:szCs w:val="21"/>
        </w:rPr>
      </w:pPr>
      <w:r>
        <w:rPr>
          <w:rFonts w:hint="eastAsia" w:ascii="宋体" w:hAnsi="宋体"/>
          <w:color w:val="000000"/>
          <w:szCs w:val="21"/>
        </w:rPr>
        <w:t>GB 4806.1  食品安全国家标准 食品接触材料及制品通用安全要求</w:t>
      </w:r>
    </w:p>
    <w:p>
      <w:pPr>
        <w:tabs>
          <w:tab w:val="left" w:pos="2970"/>
        </w:tabs>
        <w:ind w:firstLine="407" w:firstLineChars="194"/>
        <w:rPr>
          <w:rFonts w:hint="eastAsia" w:ascii="宋体" w:hAnsi="宋体"/>
        </w:rPr>
      </w:pPr>
      <w:r>
        <w:rPr>
          <w:rFonts w:ascii="宋体" w:hAnsi="宋体"/>
        </w:rPr>
        <w:t xml:space="preserve">GB 5009.3  </w:t>
      </w:r>
      <w:r>
        <w:rPr>
          <w:rFonts w:hint="eastAsia" w:ascii="宋体" w:hAnsi="宋体"/>
        </w:rPr>
        <w:t>食品安全国家标准</w:t>
      </w:r>
      <w:r>
        <w:rPr>
          <w:rFonts w:ascii="宋体" w:hAnsi="宋体"/>
        </w:rPr>
        <w:t xml:space="preserve"> </w:t>
      </w:r>
      <w:r>
        <w:rPr>
          <w:rFonts w:hint="eastAsia" w:ascii="宋体" w:hAnsi="宋体"/>
        </w:rPr>
        <w:t>食品中水分的测定</w:t>
      </w:r>
    </w:p>
    <w:p>
      <w:pPr>
        <w:tabs>
          <w:tab w:val="left" w:pos="2970"/>
        </w:tabs>
        <w:ind w:firstLine="407" w:firstLineChars="194"/>
        <w:rPr>
          <w:rFonts w:ascii="宋体" w:hAnsi="宋体"/>
          <w:color w:val="000000"/>
          <w:szCs w:val="21"/>
        </w:rPr>
      </w:pPr>
      <w:r>
        <w:rPr>
          <w:rFonts w:hint="eastAsia" w:ascii="宋体" w:hAnsi="宋体"/>
        </w:rPr>
        <w:t>GB 5009.9  食品安全国家标准 食品中淀粉的测定</w:t>
      </w:r>
    </w:p>
    <w:p>
      <w:pPr>
        <w:tabs>
          <w:tab w:val="left" w:pos="2970"/>
        </w:tabs>
        <w:ind w:firstLine="407" w:firstLineChars="194"/>
        <w:rPr>
          <w:rFonts w:ascii="宋体" w:hAnsi="宋体"/>
          <w:color w:val="000000"/>
          <w:szCs w:val="21"/>
        </w:rPr>
      </w:pPr>
      <w:r>
        <w:rPr>
          <w:rFonts w:hint="eastAsia" w:ascii="宋体" w:hAnsi="宋体"/>
          <w:color w:val="000000"/>
          <w:szCs w:val="21"/>
        </w:rPr>
        <w:t>GB 5009.12  食品安全国家标准 食品中铅的测定</w:t>
      </w:r>
    </w:p>
    <w:p>
      <w:pPr>
        <w:ind w:firstLine="420" w:firstLineChars="200"/>
        <w:rPr>
          <w:rFonts w:ascii="宋体" w:hAnsi="宋体" w:cs="Arial"/>
          <w:color w:val="000000"/>
          <w:szCs w:val="21"/>
        </w:rPr>
      </w:pPr>
      <w:r>
        <w:rPr>
          <w:rFonts w:hint="eastAsia" w:ascii="宋体" w:hAnsi="宋体" w:cs="Arial"/>
          <w:color w:val="000000"/>
          <w:szCs w:val="21"/>
        </w:rPr>
        <w:t>GB 5749  生活饮用水卫生标准</w:t>
      </w:r>
    </w:p>
    <w:p>
      <w:pPr>
        <w:tabs>
          <w:tab w:val="left" w:pos="2970"/>
        </w:tabs>
        <w:ind w:firstLine="407" w:firstLineChars="194"/>
        <w:rPr>
          <w:rFonts w:ascii="宋体" w:hAnsi="宋体"/>
          <w:color w:val="000000"/>
          <w:szCs w:val="21"/>
        </w:rPr>
      </w:pPr>
      <w:r>
        <w:rPr>
          <w:rFonts w:ascii="宋体" w:hAnsi="宋体"/>
          <w:color w:val="000000"/>
          <w:szCs w:val="21"/>
        </w:rPr>
        <w:t xml:space="preserve">GB/T 6543 </w:t>
      </w:r>
      <w:r>
        <w:rPr>
          <w:rFonts w:hint="eastAsia" w:ascii="宋体" w:hAnsi="宋体"/>
          <w:color w:val="000000"/>
          <w:szCs w:val="21"/>
        </w:rPr>
        <w:t xml:space="preserve"> 运输包装用单瓦楞纸箱和双瓦楞纸箱</w:t>
      </w:r>
    </w:p>
    <w:p>
      <w:pPr>
        <w:tabs>
          <w:tab w:val="left" w:pos="2970"/>
        </w:tabs>
        <w:ind w:firstLine="407" w:firstLineChars="194"/>
        <w:rPr>
          <w:rFonts w:hint="eastAsia" w:ascii="宋体" w:hAnsi="宋体"/>
          <w:color w:val="000000"/>
          <w:szCs w:val="21"/>
        </w:rPr>
      </w:pPr>
      <w:r>
        <w:rPr>
          <w:rFonts w:ascii="宋体" w:hAnsi="宋体"/>
          <w:color w:val="000000"/>
          <w:szCs w:val="21"/>
        </w:rPr>
        <w:t>GB 7718</w:t>
      </w:r>
      <w:r>
        <w:rPr>
          <w:rFonts w:hint="eastAsia" w:ascii="宋体" w:hAnsi="宋体"/>
          <w:color w:val="000000"/>
          <w:szCs w:val="21"/>
        </w:rPr>
        <w:t xml:space="preserve">  食品安全国家标准 预包装食品标签通则</w:t>
      </w:r>
    </w:p>
    <w:p>
      <w:pPr>
        <w:tabs>
          <w:tab w:val="left" w:pos="2970"/>
        </w:tabs>
        <w:ind w:firstLine="407" w:firstLineChars="194"/>
        <w:rPr>
          <w:rFonts w:ascii="宋体" w:hAnsi="宋体"/>
          <w:color w:val="000000"/>
          <w:szCs w:val="21"/>
        </w:rPr>
      </w:pPr>
      <w:r>
        <w:rPr>
          <w:rFonts w:hint="eastAsia" w:ascii="宋体" w:hAnsi="宋体"/>
          <w:color w:val="000000"/>
          <w:szCs w:val="21"/>
        </w:rPr>
        <w:t>GB 14880  食品安全国家标准 食品营养强化剂使用标准</w:t>
      </w:r>
    </w:p>
    <w:p>
      <w:pPr>
        <w:ind w:firstLine="420" w:firstLineChars="200"/>
        <w:rPr>
          <w:rFonts w:hint="eastAsia" w:ascii="宋体" w:hAnsi="宋体"/>
        </w:rPr>
      </w:pPr>
      <w:r>
        <w:rPr>
          <w:rFonts w:hint="eastAsia" w:ascii="宋体" w:hAnsi="宋体"/>
        </w:rPr>
        <w:t>GB 14881  食品安全国家标准 食品生产通用卫生规范</w:t>
      </w:r>
    </w:p>
    <w:p>
      <w:pPr>
        <w:ind w:firstLine="420" w:firstLineChars="200"/>
        <w:rPr>
          <w:rFonts w:hint="eastAsia" w:ascii="宋体" w:hAnsi="宋体"/>
        </w:rPr>
      </w:pPr>
      <w:r>
        <w:rPr>
          <w:rFonts w:hint="eastAsia" w:ascii="宋体" w:hAnsi="宋体"/>
        </w:rPr>
        <w:t>GB 28050  食品安全国家标准 预包装食品营养标签通则</w:t>
      </w:r>
    </w:p>
    <w:p>
      <w:pPr>
        <w:ind w:firstLine="420" w:firstLineChars="200"/>
        <w:rPr>
          <w:rFonts w:ascii="宋体" w:hAnsi="宋体"/>
        </w:rPr>
      </w:pPr>
      <w:r>
        <w:rPr>
          <w:rFonts w:hint="eastAsia" w:ascii="宋体" w:hAnsi="宋体"/>
        </w:rPr>
        <w:t>GB/T 34321  甘薯淀粉</w:t>
      </w:r>
    </w:p>
    <w:p>
      <w:pPr>
        <w:tabs>
          <w:tab w:val="left" w:pos="2970"/>
        </w:tabs>
        <w:ind w:firstLine="407" w:firstLineChars="194"/>
        <w:rPr>
          <w:rFonts w:ascii="宋体" w:hAnsi="宋体" w:cs="Arial"/>
          <w:color w:val="000000"/>
          <w:szCs w:val="21"/>
        </w:rPr>
      </w:pPr>
      <w:r>
        <w:rPr>
          <w:rFonts w:hint="eastAsia" w:ascii="宋体" w:hAnsi="宋体"/>
          <w:szCs w:val="21"/>
        </w:rPr>
        <w:t>JJF</w:t>
      </w:r>
      <w:r>
        <w:rPr>
          <w:rFonts w:ascii="宋体" w:hAnsi="宋体" w:cs="Arial"/>
          <w:szCs w:val="21"/>
        </w:rPr>
        <w:t xml:space="preserve"> 1070</w:t>
      </w:r>
      <w:r>
        <w:rPr>
          <w:rFonts w:hint="eastAsia" w:ascii="宋体" w:hAnsi="宋体" w:cs="Arial"/>
          <w:szCs w:val="21"/>
        </w:rPr>
        <w:t xml:space="preserve">  </w:t>
      </w:r>
      <w:r>
        <w:rPr>
          <w:rStyle w:val="36"/>
          <w:rFonts w:ascii="宋体" w:hAnsi="宋体" w:cs="Arial"/>
          <w:color w:val="auto"/>
          <w:szCs w:val="21"/>
        </w:rPr>
        <w:t>定量包装商品</w:t>
      </w:r>
      <w:r>
        <w:rPr>
          <w:rFonts w:ascii="宋体" w:hAnsi="宋体" w:cs="Arial"/>
          <w:color w:val="000000"/>
          <w:szCs w:val="21"/>
        </w:rPr>
        <w:t>净含量</w:t>
      </w:r>
      <w:r>
        <w:rPr>
          <w:rStyle w:val="36"/>
          <w:rFonts w:ascii="宋体" w:hAnsi="宋体" w:cs="Arial"/>
          <w:color w:val="000000"/>
          <w:szCs w:val="21"/>
        </w:rPr>
        <w:t>计量</w:t>
      </w:r>
      <w:r>
        <w:rPr>
          <w:rFonts w:ascii="宋体" w:hAnsi="宋体" w:cs="Arial"/>
          <w:color w:val="000000"/>
          <w:szCs w:val="21"/>
        </w:rPr>
        <w:t>检验规则</w:t>
      </w:r>
    </w:p>
    <w:p>
      <w:pPr>
        <w:ind w:firstLine="420" w:firstLineChars="200"/>
        <w:rPr>
          <w:rFonts w:ascii="宋体" w:hAnsi="宋体"/>
          <w:szCs w:val="21"/>
        </w:rPr>
      </w:pPr>
      <w:r>
        <w:rPr>
          <w:rFonts w:hint="eastAsia" w:ascii="宋体" w:hAnsi="宋体"/>
          <w:szCs w:val="21"/>
        </w:rPr>
        <w:t>国家质量监督检验检疫总局令第75号（2005）《定量包装商品计量监督管理办法》</w:t>
      </w:r>
    </w:p>
    <w:p>
      <w:pPr>
        <w:tabs>
          <w:tab w:val="left" w:pos="2970"/>
        </w:tabs>
        <w:ind w:firstLine="407" w:firstLineChars="194"/>
        <w:rPr>
          <w:rFonts w:ascii="宋体" w:hAnsi="宋体"/>
          <w:szCs w:val="21"/>
        </w:rPr>
      </w:pPr>
      <w:r>
        <w:rPr>
          <w:rFonts w:hint="eastAsia" w:ascii="宋体" w:hAnsi="宋体"/>
          <w:szCs w:val="21"/>
        </w:rPr>
        <w:t>国家质量监督检验检疫总局令第123号（2009）《食品标识管理规定》</w:t>
      </w:r>
    </w:p>
    <w:p>
      <w:pPr>
        <w:pStyle w:val="57"/>
        <w:spacing w:beforeLines="100" w:afterLines="100"/>
        <w:rPr>
          <w:color w:val="000000"/>
        </w:rPr>
      </w:pPr>
      <w:r>
        <w:rPr>
          <w:rFonts w:hint="eastAsia"/>
          <w:color w:val="000000"/>
        </w:rPr>
        <w:t>要求</w:t>
      </w:r>
    </w:p>
    <w:p>
      <w:pPr>
        <w:pStyle w:val="58"/>
        <w:spacing w:beforeLines="50" w:afterLines="50"/>
        <w:ind w:left="0"/>
      </w:pPr>
      <w:r>
        <w:rPr>
          <w:rFonts w:hint="eastAsia"/>
        </w:rPr>
        <w:t>原辅料要求</w:t>
      </w:r>
    </w:p>
    <w:p>
      <w:pPr>
        <w:pStyle w:val="59"/>
        <w:spacing w:before="50" w:after="50"/>
        <w:ind w:left="0"/>
        <w:rPr>
          <w:rFonts w:ascii="宋体" w:hAnsi="宋体" w:eastAsia="宋体"/>
        </w:rPr>
      </w:pPr>
      <w:r>
        <w:rPr>
          <w:rFonts w:hint="eastAsia" w:ascii="宋体" w:hAnsi="宋体" w:eastAsia="宋体"/>
        </w:rPr>
        <w:t>红薯淀粉：应符合GB/T 34321的规定。</w:t>
      </w:r>
    </w:p>
    <w:p>
      <w:pPr>
        <w:pStyle w:val="59"/>
        <w:spacing w:before="50" w:after="50"/>
        <w:ind w:left="0"/>
        <w:rPr>
          <w:rFonts w:ascii="宋体" w:hAnsi="宋体" w:eastAsia="宋体"/>
        </w:rPr>
      </w:pPr>
      <w:r>
        <w:rPr>
          <w:rFonts w:hint="eastAsia" w:ascii="宋体" w:hAnsi="宋体" w:eastAsia="宋体"/>
        </w:rPr>
        <w:t>加工用水：应符合GB 5749的规定。</w:t>
      </w:r>
    </w:p>
    <w:p>
      <w:pPr>
        <w:pStyle w:val="58"/>
        <w:spacing w:beforeLines="50" w:afterLines="50"/>
        <w:ind w:left="0"/>
      </w:pPr>
      <w:r>
        <w:rPr>
          <w:rFonts w:hint="eastAsia"/>
        </w:rPr>
        <w:t>感官要求</w:t>
      </w:r>
    </w:p>
    <w:p>
      <w:pPr>
        <w:pStyle w:val="57"/>
        <w:numPr>
          <w:ilvl w:val="0"/>
          <w:numId w:val="0"/>
        </w:numPr>
        <w:spacing w:before="156" w:after="156"/>
        <w:ind w:firstLine="420" w:firstLineChars="200"/>
        <w:rPr>
          <w:rFonts w:ascii="宋体" w:hAnsi="宋体" w:eastAsia="宋体"/>
        </w:rPr>
      </w:pPr>
      <w:r>
        <w:rPr>
          <w:rFonts w:hint="eastAsia" w:ascii="宋体" w:hAnsi="宋体" w:eastAsia="宋体"/>
        </w:rPr>
        <w:t>应符合表1的规定。</w:t>
      </w:r>
    </w:p>
    <w:p>
      <w:pPr>
        <w:pStyle w:val="57"/>
        <w:numPr>
          <w:ilvl w:val="0"/>
          <w:numId w:val="0"/>
        </w:numPr>
        <w:spacing w:beforeLines="0" w:afterLines="0"/>
        <w:jc w:val="center"/>
      </w:pPr>
      <w:r>
        <w:rPr>
          <w:rFonts w:hint="eastAsia"/>
        </w:rPr>
        <w:t>表1  感官指标</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pStyle w:val="56"/>
              <w:widowControl w:val="0"/>
              <w:ind w:firstLine="0" w:firstLineChars="0"/>
              <w:jc w:val="center"/>
              <w:rPr>
                <w:rFonts w:hAnsi="宋体"/>
                <w:sz w:val="18"/>
                <w:szCs w:val="18"/>
              </w:rPr>
            </w:pPr>
            <w:r>
              <w:rPr>
                <w:rFonts w:hint="eastAsia" w:hAnsi="宋体"/>
                <w:sz w:val="18"/>
                <w:szCs w:val="18"/>
              </w:rPr>
              <w:t>项   目</w:t>
            </w:r>
          </w:p>
        </w:tc>
        <w:tc>
          <w:tcPr>
            <w:tcW w:w="8295" w:type="dxa"/>
            <w:vAlign w:val="center"/>
          </w:tcPr>
          <w:p>
            <w:pPr>
              <w:pStyle w:val="56"/>
              <w:widowControl w:val="0"/>
              <w:ind w:firstLine="0" w:firstLineChars="0"/>
              <w:jc w:val="center"/>
              <w:rPr>
                <w:rFonts w:hAnsi="宋体"/>
                <w:sz w:val="18"/>
                <w:szCs w:val="18"/>
              </w:rPr>
            </w:pPr>
            <w:r>
              <w:rPr>
                <w:rFonts w:hint="eastAsia" w:hAnsi="宋体"/>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pStyle w:val="56"/>
              <w:widowControl w:val="0"/>
              <w:ind w:firstLine="0" w:firstLineChars="0"/>
              <w:jc w:val="center"/>
              <w:rPr>
                <w:rFonts w:hAnsi="宋体"/>
                <w:sz w:val="18"/>
                <w:szCs w:val="18"/>
              </w:rPr>
            </w:pPr>
            <w:r>
              <w:rPr>
                <w:rFonts w:hint="eastAsia" w:hAnsi="宋体"/>
                <w:sz w:val="18"/>
                <w:szCs w:val="18"/>
              </w:rPr>
              <w:t>色  泽</w:t>
            </w:r>
          </w:p>
        </w:tc>
        <w:tc>
          <w:tcPr>
            <w:tcW w:w="8295" w:type="dxa"/>
            <w:vAlign w:val="center"/>
          </w:tcPr>
          <w:p>
            <w:pPr>
              <w:pStyle w:val="56"/>
              <w:widowControl w:val="0"/>
              <w:ind w:firstLine="0" w:firstLineChars="0"/>
              <w:jc w:val="center"/>
              <w:rPr>
                <w:rFonts w:hAnsi="宋体"/>
                <w:sz w:val="18"/>
                <w:szCs w:val="18"/>
              </w:rPr>
            </w:pPr>
            <w:r>
              <w:rPr>
                <w:rFonts w:hint="eastAsia" w:hAnsi="宋体"/>
                <w:sz w:val="18"/>
                <w:szCs w:val="18"/>
              </w:rPr>
              <w:t>具有本品应有的色泽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pStyle w:val="56"/>
              <w:widowControl w:val="0"/>
              <w:ind w:firstLine="0" w:firstLineChars="0"/>
              <w:jc w:val="center"/>
              <w:rPr>
                <w:rFonts w:hAnsi="宋体"/>
                <w:sz w:val="18"/>
                <w:szCs w:val="18"/>
              </w:rPr>
            </w:pPr>
            <w:r>
              <w:rPr>
                <w:rFonts w:hint="eastAsia" w:hAnsi="宋体"/>
                <w:sz w:val="18"/>
                <w:szCs w:val="18"/>
              </w:rPr>
              <w:t>气味和滋味</w:t>
            </w:r>
          </w:p>
        </w:tc>
        <w:tc>
          <w:tcPr>
            <w:tcW w:w="8295" w:type="dxa"/>
            <w:vAlign w:val="center"/>
          </w:tcPr>
          <w:p>
            <w:pPr>
              <w:pStyle w:val="56"/>
              <w:widowControl w:val="0"/>
              <w:ind w:firstLine="0" w:firstLineChars="0"/>
              <w:jc w:val="center"/>
              <w:rPr>
                <w:rFonts w:hAnsi="宋体"/>
                <w:sz w:val="18"/>
                <w:szCs w:val="18"/>
              </w:rPr>
            </w:pPr>
            <w:r>
              <w:rPr>
                <w:rFonts w:hint="eastAsia" w:hAnsi="宋体"/>
                <w:sz w:val="18"/>
                <w:szCs w:val="18"/>
              </w:rPr>
              <w:t>具有本品应有的气味和滋味，无异味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pStyle w:val="56"/>
              <w:widowControl w:val="0"/>
              <w:ind w:firstLine="0" w:firstLineChars="0"/>
              <w:jc w:val="center"/>
              <w:rPr>
                <w:rFonts w:hAnsi="宋体"/>
                <w:sz w:val="18"/>
                <w:szCs w:val="18"/>
              </w:rPr>
            </w:pPr>
            <w:r>
              <w:rPr>
                <w:rFonts w:hint="eastAsia" w:hAnsi="宋体"/>
                <w:sz w:val="18"/>
                <w:szCs w:val="18"/>
              </w:rPr>
              <w:t>组织形态</w:t>
            </w:r>
          </w:p>
        </w:tc>
        <w:tc>
          <w:tcPr>
            <w:tcW w:w="8295" w:type="dxa"/>
            <w:vAlign w:val="center"/>
          </w:tcPr>
          <w:p>
            <w:pPr>
              <w:pStyle w:val="56"/>
              <w:widowControl w:val="0"/>
              <w:ind w:firstLine="0" w:firstLineChars="0"/>
              <w:jc w:val="center"/>
              <w:rPr>
                <w:rFonts w:hAnsi="宋体"/>
                <w:sz w:val="18"/>
                <w:szCs w:val="18"/>
              </w:rPr>
            </w:pPr>
            <w:r>
              <w:rPr>
                <w:rFonts w:hint="eastAsia" w:hAnsi="宋体"/>
                <w:sz w:val="18"/>
                <w:szCs w:val="18"/>
              </w:rPr>
              <w:t>丝条匀细一致，无并丝，弹性良好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Align w:val="center"/>
          </w:tcPr>
          <w:p>
            <w:pPr>
              <w:pStyle w:val="56"/>
              <w:widowControl w:val="0"/>
              <w:ind w:firstLine="0" w:firstLineChars="0"/>
              <w:jc w:val="center"/>
              <w:rPr>
                <w:rFonts w:hAnsi="宋体"/>
                <w:sz w:val="18"/>
                <w:szCs w:val="18"/>
              </w:rPr>
            </w:pPr>
            <w:r>
              <w:rPr>
                <w:rFonts w:hint="eastAsia" w:hAnsi="宋体"/>
                <w:sz w:val="18"/>
                <w:szCs w:val="18"/>
              </w:rPr>
              <w:t>杂  质</w:t>
            </w:r>
          </w:p>
        </w:tc>
        <w:tc>
          <w:tcPr>
            <w:tcW w:w="8295" w:type="dxa"/>
            <w:vAlign w:val="center"/>
          </w:tcPr>
          <w:p>
            <w:pPr>
              <w:jc w:val="center"/>
              <w:rPr>
                <w:rFonts w:ascii="宋体" w:hAnsi="宋体"/>
                <w:sz w:val="18"/>
                <w:szCs w:val="18"/>
              </w:rPr>
            </w:pPr>
            <w:r>
              <w:rPr>
                <w:rFonts w:hint="eastAsia" w:ascii="宋体" w:hAnsi="宋体"/>
                <w:sz w:val="18"/>
                <w:szCs w:val="18"/>
              </w:rPr>
              <w:t>无正常视力可见杂质</w:t>
            </w:r>
          </w:p>
        </w:tc>
      </w:tr>
    </w:tbl>
    <w:p>
      <w:pPr>
        <w:pStyle w:val="58"/>
        <w:spacing w:beforeLines="50" w:afterLines="50"/>
        <w:ind w:left="0"/>
      </w:pPr>
      <w:r>
        <w:rPr>
          <w:rFonts w:hint="eastAsia"/>
        </w:rPr>
        <w:t>理化指标</w:t>
      </w:r>
    </w:p>
    <w:p>
      <w:pPr>
        <w:pStyle w:val="57"/>
        <w:numPr>
          <w:ilvl w:val="0"/>
          <w:numId w:val="0"/>
        </w:numPr>
        <w:spacing w:before="156" w:after="156"/>
        <w:ind w:firstLine="420" w:firstLineChars="200"/>
        <w:rPr>
          <w:rFonts w:ascii="宋体" w:hAnsi="宋体" w:eastAsia="宋体"/>
        </w:rPr>
      </w:pPr>
      <w:r>
        <w:rPr>
          <w:rFonts w:hint="eastAsia" w:ascii="宋体" w:hAnsi="宋体" w:eastAsia="宋体"/>
        </w:rPr>
        <w:t>应符合表2规定。</w:t>
      </w:r>
      <w:bookmarkStart w:id="3" w:name="_GoBack"/>
      <w:bookmarkEnd w:id="3"/>
    </w:p>
    <w:p>
      <w:pPr>
        <w:pStyle w:val="57"/>
        <w:numPr>
          <w:ilvl w:val="0"/>
          <w:numId w:val="0"/>
        </w:numPr>
        <w:spacing w:beforeLines="0" w:afterLines="0"/>
        <w:jc w:val="center"/>
      </w:pPr>
      <w:r>
        <w:rPr>
          <w:rFonts w:hint="eastAsia"/>
        </w:rPr>
        <w:t>表2  理化指标</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pPr>
              <w:pStyle w:val="56"/>
              <w:ind w:firstLine="0" w:firstLineChars="0"/>
              <w:jc w:val="center"/>
              <w:rPr>
                <w:szCs w:val="18"/>
              </w:rPr>
            </w:pPr>
            <w:r>
              <w:rPr>
                <w:rFonts w:hint="eastAsia"/>
                <w:szCs w:val="18"/>
              </w:rPr>
              <w:t>项</w:t>
            </w:r>
            <w:r>
              <w:rPr>
                <w:szCs w:val="18"/>
              </w:rPr>
              <w:t xml:space="preserve">   </w:t>
            </w:r>
            <w:r>
              <w:rPr>
                <w:rFonts w:hint="eastAsia"/>
                <w:szCs w:val="18"/>
              </w:rPr>
              <w:t>目</w:t>
            </w:r>
          </w:p>
        </w:tc>
        <w:tc>
          <w:tcPr>
            <w:tcW w:w="4395" w:type="dxa"/>
          </w:tcPr>
          <w:p>
            <w:pPr>
              <w:pStyle w:val="56"/>
              <w:ind w:firstLine="0" w:firstLineChars="0"/>
              <w:jc w:val="center"/>
              <w:rPr>
                <w:szCs w:val="18"/>
              </w:rPr>
            </w:pPr>
            <w:r>
              <w:rPr>
                <w:rFonts w:hint="eastAsia"/>
                <w:szCs w:val="18"/>
              </w:rPr>
              <w:t>指</w:t>
            </w:r>
            <w:r>
              <w:rPr>
                <w:szCs w:val="18"/>
              </w:rPr>
              <w:t xml:space="preserve">   </w:t>
            </w:r>
            <w:r>
              <w:rPr>
                <w:rFonts w:hint="eastAsia"/>
                <w:szCs w:val="1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pStyle w:val="56"/>
              <w:ind w:firstLine="0" w:firstLineChars="0"/>
              <w:jc w:val="left"/>
              <w:rPr>
                <w:szCs w:val="18"/>
              </w:rPr>
            </w:pPr>
            <w:r>
              <w:rPr>
                <w:rFonts w:hint="eastAsia"/>
                <w:szCs w:val="18"/>
              </w:rPr>
              <w:t>水份</w:t>
            </w:r>
            <w:r>
              <w:rPr>
                <w:szCs w:val="18"/>
              </w:rPr>
              <w:t>/</w:t>
            </w:r>
            <w:r>
              <w:rPr>
                <w:rFonts w:hint="eastAsia"/>
                <w:szCs w:val="18"/>
              </w:rPr>
              <w:t>（</w:t>
            </w:r>
            <w:r>
              <w:rPr>
                <w:szCs w:val="18"/>
              </w:rPr>
              <w:t>%</w:t>
            </w:r>
            <w:r>
              <w:rPr>
                <w:rFonts w:hint="eastAsia"/>
                <w:szCs w:val="18"/>
              </w:rPr>
              <w:t>）</w:t>
            </w:r>
            <w:r>
              <w:rPr>
                <w:szCs w:val="18"/>
              </w:rPr>
              <w:t xml:space="preserve">                                 </w:t>
            </w:r>
            <w:r>
              <w:rPr>
                <w:rFonts w:hint="eastAsia"/>
                <w:szCs w:val="18"/>
              </w:rPr>
              <w:t>≤</w:t>
            </w:r>
          </w:p>
        </w:tc>
        <w:tc>
          <w:tcPr>
            <w:tcW w:w="4395" w:type="dxa"/>
          </w:tcPr>
          <w:p>
            <w:pPr>
              <w:pStyle w:val="56"/>
              <w:ind w:firstLine="0" w:firstLineChars="0"/>
              <w:jc w:val="center"/>
              <w:rPr>
                <w:szCs w:val="18"/>
              </w:rPr>
            </w:pPr>
            <w:r>
              <w:rPr>
                <w:rFonts w:hint="eastAsia"/>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pStyle w:val="56"/>
              <w:ind w:firstLine="0" w:firstLineChars="0"/>
              <w:jc w:val="left"/>
              <w:rPr>
                <w:rFonts w:hint="eastAsia"/>
                <w:szCs w:val="18"/>
              </w:rPr>
            </w:pPr>
            <w:r>
              <w:rPr>
                <w:rFonts w:hint="eastAsia"/>
                <w:szCs w:val="18"/>
              </w:rPr>
              <w:t>淀粉/（g/100g）                            ≥</w:t>
            </w:r>
          </w:p>
        </w:tc>
        <w:tc>
          <w:tcPr>
            <w:tcW w:w="4395" w:type="dxa"/>
          </w:tcPr>
          <w:p>
            <w:pPr>
              <w:pStyle w:val="56"/>
              <w:ind w:firstLine="0" w:firstLineChars="0"/>
              <w:jc w:val="center"/>
              <w:rPr>
                <w:rFonts w:hint="eastAsia"/>
                <w:szCs w:val="18"/>
              </w:rPr>
            </w:pPr>
            <w:r>
              <w:rPr>
                <w:rFonts w:hint="eastAsia"/>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pStyle w:val="56"/>
              <w:ind w:firstLine="0" w:firstLineChars="0"/>
              <w:jc w:val="left"/>
              <w:rPr>
                <w:szCs w:val="18"/>
              </w:rPr>
            </w:pPr>
            <w:r>
              <w:rPr>
                <w:rFonts w:hint="eastAsia"/>
                <w:szCs w:val="18"/>
              </w:rPr>
              <w:t>铅（以Pb计）</w:t>
            </w:r>
            <w:r>
              <w:rPr>
                <w:szCs w:val="18"/>
              </w:rPr>
              <w:t>/</w:t>
            </w:r>
            <w:r>
              <w:rPr>
                <w:rFonts w:hint="eastAsia"/>
                <w:szCs w:val="18"/>
              </w:rPr>
              <w:t>（</w:t>
            </w:r>
            <w:r>
              <w:rPr>
                <w:szCs w:val="18"/>
              </w:rPr>
              <w:t>mg/kg</w:t>
            </w:r>
            <w:r>
              <w:rPr>
                <w:rFonts w:hint="eastAsia"/>
                <w:szCs w:val="18"/>
              </w:rPr>
              <w:t>）</w:t>
            </w:r>
            <w:r>
              <w:rPr>
                <w:szCs w:val="18"/>
              </w:rPr>
              <w:t xml:space="preserve">         </w:t>
            </w:r>
            <w:r>
              <w:rPr>
                <w:rFonts w:hint="eastAsia"/>
                <w:szCs w:val="18"/>
              </w:rPr>
              <w:t xml:space="preserve">  </w:t>
            </w:r>
            <w:r>
              <w:rPr>
                <w:szCs w:val="18"/>
              </w:rPr>
              <w:t xml:space="preserve">          </w:t>
            </w:r>
            <w:r>
              <w:rPr>
                <w:rFonts w:hint="eastAsia"/>
                <w:szCs w:val="18"/>
              </w:rPr>
              <w:t>≤</w:t>
            </w:r>
          </w:p>
        </w:tc>
        <w:tc>
          <w:tcPr>
            <w:tcW w:w="4395" w:type="dxa"/>
          </w:tcPr>
          <w:p>
            <w:pPr>
              <w:pStyle w:val="56"/>
              <w:ind w:firstLine="0" w:firstLineChars="0"/>
              <w:jc w:val="center"/>
              <w:rPr>
                <w:rFonts w:hint="default" w:eastAsia="宋体"/>
                <w:szCs w:val="18"/>
                <w:lang w:val="en-US" w:eastAsia="zh-CN"/>
              </w:rPr>
            </w:pPr>
            <w:r>
              <w:rPr>
                <w:szCs w:val="18"/>
              </w:rPr>
              <w:t>0.</w:t>
            </w:r>
            <w:r>
              <w:rPr>
                <w:rFonts w:hint="eastAsia"/>
                <w:szCs w:val="18"/>
                <w:lang w:val="en-US" w:eastAsia="zh-CN"/>
              </w:rPr>
              <w:t>45</w:t>
            </w:r>
          </w:p>
        </w:tc>
      </w:tr>
    </w:tbl>
    <w:p>
      <w:pPr>
        <w:pStyle w:val="58"/>
        <w:spacing w:beforeLines="50" w:afterLines="50"/>
        <w:ind w:left="0"/>
      </w:pPr>
      <w:r>
        <w:rPr>
          <w:rFonts w:hint="eastAsia"/>
        </w:rPr>
        <w:t>食品添加剂和食品营养强化剂</w:t>
      </w:r>
    </w:p>
    <w:p>
      <w:pPr>
        <w:pStyle w:val="59"/>
        <w:spacing w:before="50" w:after="50"/>
        <w:ind w:left="0"/>
        <w:rPr>
          <w:rFonts w:ascii="宋体" w:hAnsi="宋体" w:eastAsia="宋体"/>
        </w:rPr>
      </w:pPr>
      <w:r>
        <w:rPr>
          <w:rFonts w:hint="eastAsia" w:ascii="宋体" w:hAnsi="宋体" w:eastAsia="宋体" w:cs="宋体"/>
          <w:color w:val="000000"/>
          <w:szCs w:val="21"/>
        </w:rPr>
        <w:t>食品添加剂和食品营养强化剂的质量应符合相应的国家标准和有关规定。</w:t>
      </w:r>
    </w:p>
    <w:p>
      <w:pPr>
        <w:pStyle w:val="59"/>
        <w:spacing w:before="50" w:after="50"/>
        <w:ind w:left="0"/>
        <w:rPr>
          <w:rFonts w:ascii="宋体" w:hAnsi="宋体" w:eastAsia="宋体" w:cs="宋体"/>
          <w:color w:val="000000"/>
          <w:szCs w:val="21"/>
        </w:rPr>
      </w:pPr>
      <w:r>
        <w:rPr>
          <w:rFonts w:hint="eastAsia" w:ascii="宋体" w:hAnsi="宋体" w:eastAsia="宋体" w:cs="宋体"/>
          <w:color w:val="000000"/>
          <w:szCs w:val="21"/>
        </w:rPr>
        <w:t>食品添加剂和食品营养强化剂的品种和使用量应分别符合GB 2760和GB 14880的规定。</w:t>
      </w:r>
    </w:p>
    <w:p>
      <w:pPr>
        <w:pStyle w:val="58"/>
        <w:spacing w:beforeLines="50" w:afterLines="50"/>
        <w:ind w:left="0"/>
      </w:pPr>
      <w:r>
        <w:rPr>
          <w:rFonts w:hint="eastAsia"/>
        </w:rPr>
        <w:t>净含量</w:t>
      </w:r>
    </w:p>
    <w:p>
      <w:pPr>
        <w:pStyle w:val="56"/>
        <w:ind w:firstLine="420"/>
      </w:pPr>
      <w:r>
        <w:rPr>
          <w:rFonts w:hint="eastAsia"/>
        </w:rPr>
        <w:t>应符合</w:t>
      </w:r>
      <w:r>
        <w:rPr>
          <w:rFonts w:hint="eastAsia" w:hAnsi="宋体"/>
          <w:szCs w:val="21"/>
        </w:rPr>
        <w:t>《定量包装商品计量监督管理办法》的规定</w:t>
      </w:r>
      <w:r>
        <w:rPr>
          <w:rFonts w:hint="eastAsia"/>
        </w:rPr>
        <w:t>。</w:t>
      </w:r>
    </w:p>
    <w:p>
      <w:pPr>
        <w:pStyle w:val="58"/>
        <w:spacing w:beforeLines="50" w:afterLines="50"/>
        <w:ind w:left="0"/>
        <w:rPr>
          <w:rFonts w:ascii="黑体" w:hAnsi="宋体"/>
          <w:color w:val="000000"/>
        </w:rPr>
      </w:pPr>
      <w:r>
        <w:rPr>
          <w:rFonts w:hint="eastAsia" w:ascii="黑体" w:hAnsi="宋体"/>
          <w:color w:val="000000"/>
        </w:rPr>
        <w:t>生产加工过程卫生要求</w:t>
      </w:r>
    </w:p>
    <w:p>
      <w:pPr>
        <w:pStyle w:val="56"/>
        <w:ind w:firstLine="420"/>
      </w:pPr>
      <w:r>
        <w:rPr>
          <w:color w:val="000000"/>
        </w:rPr>
        <w:t>应符合</w:t>
      </w:r>
      <w:r>
        <w:rPr>
          <w:rFonts w:hAnsi="宋体"/>
          <w:color w:val="000000"/>
        </w:rPr>
        <w:t>GB</w:t>
      </w:r>
      <w:r>
        <w:rPr>
          <w:rFonts w:hint="eastAsia" w:hAnsi="宋体"/>
          <w:color w:val="000000"/>
        </w:rPr>
        <w:t xml:space="preserve"> 14881</w:t>
      </w:r>
      <w:r>
        <w:rPr>
          <w:rFonts w:hAnsi="宋体"/>
          <w:color w:val="000000"/>
        </w:rPr>
        <w:t>的</w:t>
      </w:r>
      <w:r>
        <w:rPr>
          <w:color w:val="000000"/>
        </w:rPr>
        <w:t>规定。</w:t>
      </w:r>
    </w:p>
    <w:p>
      <w:pPr>
        <w:pStyle w:val="57"/>
        <w:spacing w:beforeLines="100" w:afterLines="100"/>
        <w:rPr>
          <w:color w:val="000000"/>
        </w:rPr>
      </w:pPr>
      <w:r>
        <w:rPr>
          <w:rFonts w:hint="eastAsia"/>
          <w:color w:val="000000"/>
        </w:rPr>
        <w:t>试验方法</w:t>
      </w:r>
    </w:p>
    <w:p>
      <w:pPr>
        <w:pStyle w:val="58"/>
        <w:spacing w:beforeLines="50" w:afterLines="50"/>
        <w:ind w:left="0"/>
      </w:pPr>
      <w:r>
        <w:rPr>
          <w:rFonts w:hint="eastAsia"/>
        </w:rPr>
        <w:t>感官指标</w:t>
      </w:r>
    </w:p>
    <w:p>
      <w:pPr>
        <w:pStyle w:val="56"/>
        <w:ind w:firstLine="420"/>
      </w:pPr>
      <w:r>
        <w:rPr>
          <w:rFonts w:hint="eastAsia"/>
        </w:rPr>
        <w:t>取适量样品置于干燥、清洁的白色瓷盘上，观察其色泽、组织形态、杂质，嗅其气味，用温开水漱口后品其滋味。</w:t>
      </w:r>
    </w:p>
    <w:p>
      <w:pPr>
        <w:pStyle w:val="58"/>
        <w:spacing w:beforeLines="50" w:afterLines="50"/>
        <w:ind w:left="0"/>
      </w:pPr>
      <w:r>
        <w:rPr>
          <w:rFonts w:hint="eastAsia"/>
        </w:rPr>
        <w:t>净含量</w:t>
      </w:r>
    </w:p>
    <w:p>
      <w:pPr>
        <w:pStyle w:val="56"/>
        <w:ind w:firstLine="420"/>
      </w:pPr>
      <w:r>
        <w:rPr>
          <w:rFonts w:hint="eastAsia" w:hAnsi="宋体"/>
          <w:color w:val="000000"/>
        </w:rPr>
        <w:t>按JJF 1070</w:t>
      </w:r>
      <w:r>
        <w:rPr>
          <w:rFonts w:hint="eastAsia"/>
          <w:color w:val="000000"/>
        </w:rPr>
        <w:t>规定执行</w:t>
      </w:r>
      <w:r>
        <w:rPr>
          <w:rFonts w:hint="eastAsia" w:hAnsi="宋体"/>
          <w:color w:val="000000"/>
        </w:rPr>
        <w:t>。</w:t>
      </w:r>
    </w:p>
    <w:p>
      <w:pPr>
        <w:pStyle w:val="58"/>
        <w:spacing w:beforeLines="50" w:afterLines="50"/>
        <w:ind w:left="0"/>
      </w:pPr>
      <w:r>
        <w:rPr>
          <w:rFonts w:hint="eastAsia"/>
        </w:rPr>
        <w:t>理化指标</w:t>
      </w:r>
    </w:p>
    <w:p>
      <w:pPr>
        <w:pStyle w:val="59"/>
        <w:spacing w:before="50" w:after="50"/>
        <w:ind w:left="0"/>
        <w:rPr>
          <w:rFonts w:asciiTheme="minorEastAsia" w:hAnsiTheme="minorEastAsia" w:eastAsiaTheme="minorEastAsia"/>
        </w:rPr>
      </w:pPr>
      <w:r>
        <w:rPr>
          <w:rFonts w:hint="eastAsia" w:asciiTheme="minorEastAsia" w:hAnsiTheme="minorEastAsia" w:eastAsiaTheme="minorEastAsia"/>
        </w:rPr>
        <w:t>水分：按</w:t>
      </w:r>
      <w:r>
        <w:rPr>
          <w:rFonts w:asciiTheme="minorEastAsia" w:hAnsiTheme="minorEastAsia" w:eastAsiaTheme="minorEastAsia"/>
        </w:rPr>
        <w:t>GB 5009.3</w:t>
      </w:r>
      <w:r>
        <w:rPr>
          <w:rFonts w:hint="eastAsia" w:asciiTheme="minorEastAsia" w:hAnsiTheme="minorEastAsia" w:eastAsiaTheme="minorEastAsia"/>
        </w:rPr>
        <w:t>规定的方法进行测定。</w:t>
      </w:r>
    </w:p>
    <w:p>
      <w:pPr>
        <w:pStyle w:val="59"/>
        <w:spacing w:before="50" w:after="50"/>
        <w:ind w:left="0"/>
        <w:rPr>
          <w:rFonts w:asciiTheme="minorEastAsia" w:hAnsiTheme="minorEastAsia" w:eastAsiaTheme="minorEastAsia"/>
        </w:rPr>
      </w:pPr>
      <w:r>
        <w:rPr>
          <w:rFonts w:hint="eastAsia" w:asciiTheme="minorEastAsia" w:hAnsiTheme="minorEastAsia" w:eastAsiaTheme="minorEastAsia"/>
        </w:rPr>
        <w:t>淀粉：按GB 5009. 9规定的方法进行测定。</w:t>
      </w:r>
    </w:p>
    <w:p>
      <w:pPr>
        <w:pStyle w:val="59"/>
        <w:spacing w:before="50" w:after="50"/>
        <w:ind w:left="0"/>
        <w:rPr>
          <w:rFonts w:asciiTheme="minorEastAsia" w:hAnsiTheme="minorEastAsia" w:eastAsiaTheme="minorEastAsia"/>
        </w:rPr>
      </w:pPr>
      <w:r>
        <w:rPr>
          <w:rFonts w:hint="eastAsia" w:asciiTheme="minorEastAsia" w:hAnsiTheme="minorEastAsia" w:eastAsiaTheme="minorEastAsia"/>
        </w:rPr>
        <w:t>铅（以</w:t>
      </w:r>
      <w:r>
        <w:rPr>
          <w:rFonts w:asciiTheme="minorEastAsia" w:hAnsiTheme="minorEastAsia" w:eastAsiaTheme="minorEastAsia"/>
        </w:rPr>
        <w:t>Pb</w:t>
      </w:r>
      <w:r>
        <w:rPr>
          <w:rFonts w:hint="eastAsia" w:asciiTheme="minorEastAsia" w:hAnsiTheme="minorEastAsia" w:eastAsiaTheme="minorEastAsia"/>
        </w:rPr>
        <w:t>计）：按照</w:t>
      </w:r>
      <w:r>
        <w:rPr>
          <w:rFonts w:asciiTheme="minorEastAsia" w:hAnsiTheme="minorEastAsia" w:eastAsiaTheme="minorEastAsia"/>
        </w:rPr>
        <w:t>GB 5009.12</w:t>
      </w:r>
      <w:r>
        <w:rPr>
          <w:rFonts w:hint="eastAsia" w:asciiTheme="minorEastAsia" w:hAnsiTheme="minorEastAsia" w:eastAsiaTheme="minorEastAsia"/>
        </w:rPr>
        <w:t>规定的方法进行测定。</w:t>
      </w:r>
    </w:p>
    <w:p>
      <w:pPr>
        <w:pStyle w:val="58"/>
        <w:spacing w:beforeLines="50" w:afterLines="50"/>
        <w:ind w:left="0"/>
      </w:pPr>
      <w:r>
        <w:rPr>
          <w:rFonts w:hint="eastAsia"/>
        </w:rPr>
        <w:t>微生物指标</w:t>
      </w:r>
    </w:p>
    <w:p>
      <w:pPr>
        <w:pStyle w:val="57"/>
        <w:spacing w:beforeLines="100" w:afterLines="100"/>
      </w:pPr>
      <w:r>
        <w:rPr>
          <w:rFonts w:hint="eastAsia"/>
        </w:rPr>
        <w:t>检验规则</w:t>
      </w:r>
    </w:p>
    <w:p>
      <w:pPr>
        <w:pStyle w:val="58"/>
        <w:spacing w:beforeLines="50" w:afterLines="50"/>
        <w:ind w:left="0"/>
      </w:pPr>
      <w:r>
        <w:rPr>
          <w:rFonts w:hint="eastAsia"/>
        </w:rPr>
        <w:t>原辅料检验</w:t>
      </w:r>
    </w:p>
    <w:p>
      <w:pPr>
        <w:pStyle w:val="56"/>
        <w:ind w:firstLine="420"/>
      </w:pPr>
      <w:r>
        <w:rPr>
          <w:rFonts w:hint="eastAsia"/>
        </w:rPr>
        <w:t>原辅料入库需经本单位质量检验部门检验合格或索取产品检验合格证明后方可办理入库。</w:t>
      </w:r>
    </w:p>
    <w:p>
      <w:pPr>
        <w:pStyle w:val="58"/>
        <w:spacing w:beforeLines="50" w:afterLines="50"/>
        <w:ind w:left="0"/>
      </w:pPr>
      <w:r>
        <w:rPr>
          <w:rFonts w:hint="eastAsia"/>
        </w:rPr>
        <w:t>出厂检验</w:t>
      </w:r>
    </w:p>
    <w:p>
      <w:pPr>
        <w:pStyle w:val="59"/>
        <w:spacing w:before="50" w:after="50"/>
        <w:ind w:left="0"/>
        <w:rPr>
          <w:rFonts w:ascii="宋体" w:hAnsi="宋体" w:eastAsia="宋体"/>
        </w:rPr>
      </w:pPr>
      <w:r>
        <w:rPr>
          <w:rFonts w:hint="eastAsia" w:ascii="宋体" w:hAnsi="宋体" w:eastAsia="宋体"/>
        </w:rPr>
        <w:t>产品出厂需经本单位检验部门逐批检验合格，附产品检验合格证方能出厂。</w:t>
      </w:r>
    </w:p>
    <w:p>
      <w:pPr>
        <w:pStyle w:val="59"/>
        <w:spacing w:before="50" w:after="50"/>
        <w:ind w:left="0"/>
        <w:rPr>
          <w:rFonts w:ascii="宋体" w:hAnsi="宋体" w:eastAsia="宋体"/>
        </w:rPr>
      </w:pPr>
      <w:r>
        <w:rPr>
          <w:rFonts w:hint="eastAsia" w:ascii="宋体" w:hAnsi="宋体" w:eastAsia="宋体"/>
        </w:rPr>
        <w:t>出厂检验项目包括</w:t>
      </w:r>
      <w:r>
        <w:rPr>
          <w:rFonts w:hint="eastAsia" w:ascii="宋体" w:hAnsi="宋体" w:eastAsia="宋体"/>
          <w:color w:val="000000"/>
        </w:rPr>
        <w:t>感官指标、水份、淀粉、净含量。</w:t>
      </w:r>
    </w:p>
    <w:p>
      <w:pPr>
        <w:pStyle w:val="58"/>
        <w:spacing w:beforeLines="50" w:afterLines="50"/>
        <w:ind w:left="0"/>
      </w:pPr>
      <w:r>
        <w:rPr>
          <w:rFonts w:hint="eastAsia"/>
        </w:rPr>
        <w:t>型式检验</w:t>
      </w:r>
    </w:p>
    <w:p>
      <w:pPr>
        <w:pStyle w:val="59"/>
        <w:spacing w:before="50" w:after="50"/>
        <w:ind w:left="0"/>
        <w:rPr>
          <w:rFonts w:ascii="宋体" w:hAnsi="宋体" w:eastAsia="宋体"/>
        </w:rPr>
      </w:pPr>
      <w:r>
        <w:rPr>
          <w:rFonts w:hint="eastAsia" w:ascii="宋体" w:hAnsi="宋体" w:eastAsia="宋体"/>
        </w:rPr>
        <w:t>正常生产时每半年进行一次型式检验；有下列情况时也应进行型式检验：</w:t>
      </w:r>
    </w:p>
    <w:p>
      <w:pPr>
        <w:pStyle w:val="57"/>
        <w:numPr>
          <w:ilvl w:val="0"/>
          <w:numId w:val="0"/>
        </w:numPr>
        <w:spacing w:beforeLines="0" w:afterLines="0"/>
        <w:ind w:firstLine="420" w:firstLineChars="200"/>
        <w:rPr>
          <w:rFonts w:ascii="宋体" w:hAnsi="宋体" w:eastAsia="宋体"/>
        </w:rPr>
      </w:pPr>
      <w:r>
        <w:rPr>
          <w:rFonts w:ascii="宋体" w:hAnsi="宋体" w:eastAsia="宋体"/>
        </w:rPr>
        <w:t xml:space="preserve">a) </w:t>
      </w:r>
      <w:r>
        <w:rPr>
          <w:rFonts w:hint="eastAsia" w:ascii="宋体" w:hAnsi="宋体" w:eastAsia="宋体"/>
        </w:rPr>
        <w:t>产品正式批量生产时；</w:t>
      </w:r>
    </w:p>
    <w:p>
      <w:pPr>
        <w:pStyle w:val="57"/>
        <w:numPr>
          <w:ilvl w:val="0"/>
          <w:numId w:val="0"/>
        </w:numPr>
        <w:spacing w:beforeLines="0" w:afterLines="0"/>
        <w:ind w:firstLine="420" w:firstLineChars="200"/>
        <w:rPr>
          <w:rFonts w:ascii="宋体" w:hAnsi="宋体" w:eastAsia="宋体"/>
        </w:rPr>
      </w:pPr>
      <w:r>
        <w:rPr>
          <w:rFonts w:ascii="宋体" w:hAnsi="宋体" w:eastAsia="宋体"/>
        </w:rPr>
        <w:t xml:space="preserve">b) </w:t>
      </w:r>
      <w:r>
        <w:rPr>
          <w:rFonts w:hint="eastAsia" w:ascii="宋体" w:hAnsi="宋体" w:eastAsia="宋体"/>
        </w:rPr>
        <w:t>原材料进货渠道改变时；</w:t>
      </w:r>
    </w:p>
    <w:p>
      <w:pPr>
        <w:pStyle w:val="57"/>
        <w:numPr>
          <w:ilvl w:val="0"/>
          <w:numId w:val="0"/>
        </w:numPr>
        <w:spacing w:beforeLines="0" w:afterLines="0"/>
        <w:ind w:firstLine="420" w:firstLineChars="200"/>
        <w:rPr>
          <w:rFonts w:ascii="宋体" w:hAnsi="宋体" w:eastAsia="宋体"/>
        </w:rPr>
      </w:pPr>
      <w:r>
        <w:rPr>
          <w:rFonts w:ascii="宋体" w:hAnsi="宋体" w:eastAsia="宋体"/>
        </w:rPr>
        <w:t xml:space="preserve">c) </w:t>
      </w:r>
      <w:r>
        <w:rPr>
          <w:rFonts w:hint="eastAsia" w:ascii="宋体" w:hAnsi="宋体" w:eastAsia="宋体"/>
        </w:rPr>
        <w:t>生产工艺有重大改变或产品质量不稳定时；</w:t>
      </w:r>
    </w:p>
    <w:p>
      <w:pPr>
        <w:pStyle w:val="57"/>
        <w:numPr>
          <w:ilvl w:val="0"/>
          <w:numId w:val="0"/>
        </w:numPr>
        <w:spacing w:beforeLines="0" w:afterLines="0"/>
        <w:ind w:firstLine="420" w:firstLineChars="200"/>
        <w:rPr>
          <w:rFonts w:ascii="宋体" w:hAnsi="宋体" w:eastAsia="宋体"/>
        </w:rPr>
      </w:pPr>
      <w:r>
        <w:rPr>
          <w:rFonts w:ascii="宋体" w:hAnsi="宋体" w:eastAsia="宋体"/>
        </w:rPr>
        <w:t>d)</w:t>
      </w:r>
      <w:r>
        <w:rPr>
          <w:rFonts w:hint="eastAsia" w:ascii="宋体" w:hAnsi="宋体" w:eastAsia="宋体"/>
        </w:rPr>
        <w:t xml:space="preserve"> 停产三个月以上，恢复生产时；</w:t>
      </w:r>
    </w:p>
    <w:p>
      <w:pPr>
        <w:pStyle w:val="57"/>
        <w:numPr>
          <w:ilvl w:val="0"/>
          <w:numId w:val="0"/>
        </w:numPr>
        <w:spacing w:beforeLines="0" w:afterLines="0"/>
        <w:ind w:firstLine="420" w:firstLineChars="200"/>
        <w:rPr>
          <w:rFonts w:ascii="宋体" w:hAnsi="宋体" w:eastAsia="宋体"/>
        </w:rPr>
      </w:pPr>
      <w:r>
        <w:rPr>
          <w:rFonts w:hint="eastAsia" w:ascii="宋体" w:hAnsi="宋体" w:eastAsia="宋体"/>
        </w:rPr>
        <w:t>e) 国家质量监督机构或主管部门提出型式检验要求时。</w:t>
      </w:r>
    </w:p>
    <w:p>
      <w:pPr>
        <w:pStyle w:val="59"/>
        <w:spacing w:before="50" w:after="50"/>
        <w:ind w:left="0"/>
        <w:rPr>
          <w:rFonts w:ascii="宋体" w:hAnsi="宋体" w:eastAsia="宋体"/>
        </w:rPr>
      </w:pPr>
      <w:r>
        <w:rPr>
          <w:rFonts w:hint="eastAsia" w:ascii="宋体" w:hAnsi="宋体" w:eastAsia="宋体"/>
        </w:rPr>
        <w:t>型式检验项目为本标准3.1、3.6以外规定的所有要求。</w:t>
      </w:r>
    </w:p>
    <w:p>
      <w:pPr>
        <w:pStyle w:val="58"/>
        <w:spacing w:beforeLines="50" w:afterLines="50"/>
        <w:ind w:left="0"/>
      </w:pPr>
      <w:r>
        <w:rPr>
          <w:rFonts w:hint="eastAsia"/>
        </w:rPr>
        <w:t>组批</w:t>
      </w:r>
    </w:p>
    <w:p>
      <w:pPr>
        <w:pStyle w:val="56"/>
        <w:ind w:firstLine="420"/>
      </w:pPr>
      <w:r>
        <w:rPr>
          <w:rFonts w:hint="eastAsia"/>
        </w:rPr>
        <w:t>同一批投料、同一生产线、同一班次、同一包装规格的产品为一组批。</w:t>
      </w:r>
    </w:p>
    <w:p>
      <w:pPr>
        <w:pStyle w:val="58"/>
        <w:spacing w:beforeLines="50" w:afterLines="50"/>
        <w:ind w:left="0"/>
      </w:pPr>
      <w:r>
        <w:rPr>
          <w:rFonts w:hint="eastAsia"/>
        </w:rPr>
        <w:t>抽样方法和数量</w:t>
      </w:r>
    </w:p>
    <w:p>
      <w:pPr>
        <w:pStyle w:val="56"/>
        <w:ind w:firstLine="420"/>
      </w:pPr>
      <w:r>
        <w:rPr>
          <w:rFonts w:hAnsi="宋体"/>
        </w:rPr>
        <w:t>抽</w:t>
      </w:r>
      <w:r>
        <w:rPr>
          <w:rFonts w:hint="eastAsia" w:hAnsi="宋体"/>
        </w:rPr>
        <w:t>取</w:t>
      </w:r>
      <w:r>
        <w:rPr>
          <w:rFonts w:hAnsi="宋体"/>
        </w:rPr>
        <w:t>同一</w:t>
      </w:r>
      <w:r>
        <w:rPr>
          <w:rFonts w:hint="eastAsia" w:hAnsi="宋体"/>
        </w:rPr>
        <w:t>组批</w:t>
      </w:r>
      <w:r>
        <w:rPr>
          <w:rFonts w:hAnsi="宋体"/>
        </w:rPr>
        <w:t>内的产品</w:t>
      </w:r>
      <w:r>
        <w:rPr>
          <w:rFonts w:hint="eastAsia" w:hAnsi="宋体"/>
          <w:color w:val="000000"/>
          <w:szCs w:val="21"/>
        </w:rPr>
        <w:t>。每批抽样独立包装不小于4个（不含净含量抽样），样品总重量不少于1000g。将抽取的样品平均分成2份，1份检验，1份备查。</w:t>
      </w:r>
    </w:p>
    <w:p>
      <w:pPr>
        <w:pStyle w:val="58"/>
        <w:spacing w:beforeLines="50" w:afterLines="50"/>
        <w:ind w:left="0"/>
      </w:pPr>
      <w:r>
        <w:rPr>
          <w:rFonts w:hint="eastAsia"/>
        </w:rPr>
        <w:t>判定规则</w:t>
      </w:r>
    </w:p>
    <w:p>
      <w:pPr>
        <w:pStyle w:val="59"/>
        <w:spacing w:before="50" w:after="50"/>
        <w:ind w:left="0"/>
        <w:rPr>
          <w:rFonts w:ascii="宋体" w:hAnsi="宋体" w:eastAsia="宋体"/>
        </w:rPr>
      </w:pPr>
      <w:r>
        <w:rPr>
          <w:rFonts w:hint="eastAsia" w:ascii="宋体" w:hAnsi="宋体" w:eastAsia="宋体"/>
        </w:rPr>
        <w:t>所检项目全部合格判为合格。</w:t>
      </w:r>
    </w:p>
    <w:p>
      <w:pPr>
        <w:pStyle w:val="59"/>
        <w:spacing w:before="50" w:after="50"/>
        <w:ind w:left="0"/>
        <w:rPr>
          <w:rFonts w:ascii="宋体" w:hAnsi="宋体" w:eastAsia="宋体"/>
        </w:rPr>
      </w:pPr>
      <w:r>
        <w:rPr>
          <w:rFonts w:hint="eastAsia" w:ascii="宋体" w:hAnsi="宋体" w:eastAsia="宋体"/>
        </w:rPr>
        <w:t>若感官、理化中任何一项不符合本标准规定要求时，可对留样进行复检，复检合格则判该批次产品合格；若复检后仍有不合格项目，则判定该批次产品不合格。</w:t>
      </w:r>
    </w:p>
    <w:p>
      <w:pPr>
        <w:pStyle w:val="57"/>
        <w:spacing w:beforeLines="100" w:afterLines="100"/>
        <w:rPr>
          <w:rFonts w:hAnsi="宋体"/>
        </w:rPr>
      </w:pPr>
      <w:r>
        <w:rPr>
          <w:rFonts w:hint="eastAsia" w:hAnsi="宋体"/>
        </w:rPr>
        <w:t>标签标志、包装、运输和贮存</w:t>
      </w:r>
    </w:p>
    <w:p>
      <w:pPr>
        <w:pStyle w:val="58"/>
        <w:spacing w:beforeLines="50" w:afterLines="50"/>
        <w:ind w:left="0"/>
      </w:pPr>
      <w:r>
        <w:rPr>
          <w:rFonts w:hint="eastAsia"/>
        </w:rPr>
        <w:t>标签标志</w:t>
      </w:r>
    </w:p>
    <w:p>
      <w:pPr>
        <w:pStyle w:val="56"/>
        <w:ind w:firstLine="420"/>
      </w:pPr>
      <w:r>
        <w:rPr>
          <w:rFonts w:hint="eastAsia" w:hAnsi="宋体"/>
        </w:rPr>
        <w:t>预包装产品标签应符</w:t>
      </w:r>
      <w:r>
        <w:rPr>
          <w:rFonts w:hint="eastAsia" w:hAnsi="宋体"/>
          <w:color w:val="000000"/>
        </w:rPr>
        <w:t>合GB 7718、GB 28050和</w:t>
      </w:r>
      <w:r>
        <w:rPr>
          <w:rFonts w:hint="eastAsia" w:hAnsi="宋体"/>
          <w:szCs w:val="21"/>
        </w:rPr>
        <w:t>《食品标识管理规定</w:t>
      </w:r>
      <w:r>
        <w:rPr>
          <w:rFonts w:hint="eastAsia" w:hAnsi="宋体"/>
        </w:rPr>
        <w:t>》</w:t>
      </w:r>
      <w:r>
        <w:rPr>
          <w:rFonts w:hint="eastAsia"/>
        </w:rPr>
        <w:t>的规定，包装储运标志应符合</w:t>
      </w:r>
      <w:r>
        <w:rPr>
          <w:rFonts w:hint="eastAsia" w:hAnsi="宋体"/>
        </w:rPr>
        <w:t>GB/T 191</w:t>
      </w:r>
      <w:r>
        <w:rPr>
          <w:rFonts w:hint="eastAsia"/>
        </w:rPr>
        <w:t>的规定。</w:t>
      </w:r>
    </w:p>
    <w:p>
      <w:pPr>
        <w:pStyle w:val="58"/>
        <w:spacing w:beforeLines="50" w:afterLines="50"/>
        <w:ind w:left="0"/>
      </w:pPr>
      <w:r>
        <w:rPr>
          <w:rFonts w:hint="eastAsia"/>
        </w:rPr>
        <w:t>包装</w:t>
      </w:r>
    </w:p>
    <w:p>
      <w:pPr>
        <w:pStyle w:val="59"/>
        <w:spacing w:before="50" w:after="50"/>
        <w:ind w:left="0"/>
        <w:rPr>
          <w:rFonts w:ascii="宋体" w:hAnsi="宋体" w:eastAsia="宋体"/>
        </w:rPr>
      </w:pPr>
      <w:r>
        <w:rPr>
          <w:rFonts w:hint="eastAsia" w:ascii="宋体" w:hAnsi="宋体" w:eastAsia="宋体"/>
        </w:rPr>
        <w:t>内包装容器应符合GB 4806.1</w:t>
      </w:r>
      <w:r>
        <w:rPr>
          <w:rFonts w:hint="eastAsia" w:ascii="宋体" w:hAnsi="宋体" w:eastAsia="宋体"/>
          <w:color w:val="000000"/>
          <w:szCs w:val="21"/>
        </w:rPr>
        <w:t>的相关规定</w:t>
      </w:r>
      <w:r>
        <w:rPr>
          <w:rFonts w:hint="eastAsia" w:ascii="宋体" w:hAnsi="宋体" w:eastAsia="宋体"/>
        </w:rPr>
        <w:t>。</w:t>
      </w:r>
    </w:p>
    <w:p>
      <w:pPr>
        <w:pStyle w:val="59"/>
        <w:spacing w:before="50" w:after="50"/>
        <w:ind w:left="0"/>
        <w:rPr>
          <w:rFonts w:ascii="宋体" w:hAnsi="宋体" w:eastAsia="宋体"/>
        </w:rPr>
      </w:pPr>
      <w:r>
        <w:rPr>
          <w:rFonts w:hint="eastAsia" w:ascii="宋体" w:hAnsi="宋体" w:eastAsia="宋体"/>
        </w:rPr>
        <w:t>外包装卫生清洁。若采用瓦楞纸箱，应符合</w:t>
      </w:r>
      <w:r>
        <w:rPr>
          <w:rFonts w:ascii="宋体" w:hAnsi="宋体" w:eastAsia="宋体"/>
        </w:rPr>
        <w:t>GB/T 6543</w:t>
      </w:r>
      <w:r>
        <w:rPr>
          <w:rFonts w:hint="eastAsia" w:ascii="宋体" w:hAnsi="宋体" w:eastAsia="宋体"/>
        </w:rPr>
        <w:t>的规定。</w:t>
      </w:r>
    </w:p>
    <w:p>
      <w:pPr>
        <w:pStyle w:val="58"/>
        <w:spacing w:beforeLines="50" w:afterLines="50"/>
        <w:ind w:left="0"/>
      </w:pPr>
      <w:r>
        <w:rPr>
          <w:rFonts w:hint="eastAsia"/>
        </w:rPr>
        <w:t>运输</w:t>
      </w:r>
    </w:p>
    <w:p>
      <w:pPr>
        <w:pStyle w:val="56"/>
        <w:ind w:firstLine="420"/>
      </w:pPr>
      <w:r>
        <w:rPr>
          <w:rFonts w:hint="eastAsia"/>
        </w:rPr>
        <w:t>运输工具应清洁、卫生、无异味、无污染。运输时应防止受潮，防止日晒雨淋和剧烈碰撞，严禁重压</w:t>
      </w:r>
      <w:r>
        <w:rPr>
          <w:rFonts w:hint="eastAsia" w:hAnsi="宋体"/>
        </w:rPr>
        <w:t>，装卸时应轻取轻放。禁止与有毒、有害、有异味、有腐蚀性、易挥发、易污染的物品混装、混运。</w:t>
      </w:r>
    </w:p>
    <w:p>
      <w:pPr>
        <w:pStyle w:val="58"/>
        <w:spacing w:beforeLines="50" w:afterLines="50"/>
        <w:ind w:left="0"/>
      </w:pPr>
      <w:r>
        <w:rPr>
          <w:rFonts w:hint="eastAsia"/>
        </w:rPr>
        <w:t>贮存</w:t>
      </w:r>
    </w:p>
    <w:p>
      <w:pPr>
        <w:pStyle w:val="56"/>
        <w:ind w:firstLine="420"/>
      </w:pPr>
      <w:r>
        <w:rPr>
          <w:rFonts w:hint="eastAsia" w:hAnsi="宋体"/>
        </w:rPr>
        <w:t>产品应贮存在阴凉、通风、干燥、清洁的仓库中。禁止与有毒、有害、有异味、有腐蚀性、易挥发、易污染的物品混贮、混放。</w:t>
      </w:r>
    </w:p>
    <w:p>
      <w:pPr>
        <w:pStyle w:val="57"/>
        <w:spacing w:beforeLines="100" w:afterLines="100"/>
        <w:rPr>
          <w:rFonts w:hint="eastAsia" w:hAnsi="宋体"/>
        </w:rPr>
      </w:pPr>
      <w:r>
        <w:rPr>
          <w:rFonts w:hint="eastAsia" w:hAnsi="宋体"/>
        </w:rPr>
        <w:t>保质期</w:t>
      </w:r>
    </w:p>
    <w:p>
      <w:pPr>
        <w:pStyle w:val="56"/>
        <w:ind w:firstLine="420"/>
        <w:rPr>
          <w:rFonts w:hint="eastAsia"/>
        </w:rPr>
      </w:pPr>
      <w:r>
        <w:rPr>
          <w:rFonts w:hint="eastAsia"/>
        </w:rPr>
        <w:t>在符合本标准规定的条件下，未经启封，产品的保质期以标签标示为准。</w:t>
      </w:r>
    </w:p>
    <w:bookmarkEnd w:id="2"/>
    <w:p>
      <w:pPr>
        <w:tabs>
          <w:tab w:val="left" w:pos="2970"/>
        </w:tabs>
      </w:pPr>
      <w:r>
        <w:rPr>
          <w:b/>
          <w:u w:val="single"/>
        </w:rPr>
        <w:pict>
          <v:line id="_x0000_s1045" o:spid="_x0000_s1045" o:spt="20" style="position:absolute;left:0pt;flip:y;margin-left:141.75pt;margin-top:27.35pt;height:0pt;width:162.75pt;z-index:1024;mso-width-relative:page;mso-height-relative:page;" coordsize="21600,21600">
            <v:path arrowok="t"/>
            <v:fill focussize="0,0"/>
            <v:stroke weight="1.5pt"/>
            <v:imagedata o:title=""/>
            <o:lock v:ext="edit"/>
          </v:line>
        </w:pict>
      </w:r>
    </w:p>
    <w:sectPr>
      <w:footerReference r:id="rId11" w:type="default"/>
      <w:pgSz w:w="11907" w:h="16839"/>
      <w:pgMar w:top="1418" w:right="1134" w:bottom="1134"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34"/>
      </w:rPr>
    </w:pPr>
    <w:r>
      <w:rPr>
        <w:rStyle w:val="34"/>
      </w:rPr>
      <w:fldChar w:fldCharType="begin"/>
    </w:r>
    <w:r>
      <w:rPr>
        <w:rStyle w:val="34"/>
      </w:rPr>
      <w:instrText xml:space="preserve"> PAGE </w:instrText>
    </w:r>
    <w:r>
      <w:rPr>
        <w:rStyle w:val="34"/>
      </w:rPr>
      <w:fldChar w:fldCharType="separate"/>
    </w:r>
    <w:r>
      <w:rPr>
        <w:rStyle w:val="34"/>
      </w:rPr>
      <w:t>I</w:t>
    </w:r>
    <w:r>
      <w:rPr>
        <w:rStyle w:val="3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4"/>
      </w:rPr>
    </w:pPr>
    <w:r>
      <w:rPr>
        <w:rStyle w:val="34"/>
        <w:kern w:val="2"/>
        <w:szCs w:val="18"/>
      </w:rPr>
      <w:fldChar w:fldCharType="begin"/>
    </w:r>
    <w:r>
      <w:rPr>
        <w:rStyle w:val="34"/>
        <w:kern w:val="2"/>
        <w:szCs w:val="18"/>
      </w:rPr>
      <w:instrText xml:space="preserve"> PAGE </w:instrText>
    </w:r>
    <w:r>
      <w:rPr>
        <w:rStyle w:val="34"/>
        <w:kern w:val="2"/>
        <w:szCs w:val="18"/>
      </w:rPr>
      <w:fldChar w:fldCharType="separate"/>
    </w:r>
    <w:r>
      <w:rPr>
        <w:rStyle w:val="34"/>
        <w:kern w:val="2"/>
        <w:szCs w:val="18"/>
      </w:rPr>
      <w:t>1</w:t>
    </w:r>
    <w:r>
      <w:rPr>
        <w:rStyle w:val="34"/>
        <w:kern w:val="2"/>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Q/RYSP 01-2006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黑体" w:eastAsia="黑体"/>
        <w:color w:val="000000"/>
      </w:rPr>
    </w:pPr>
    <w:r>
      <w:rPr>
        <w:rFonts w:hint="eastAsia" w:ascii="黑体" w:eastAsia="黑体"/>
        <w:color w:val="000000"/>
      </w:rPr>
      <w:t>Q/JXNM 0001S-2019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58"/>
      <w:suff w:val="nothing"/>
      <w:lvlText w:val="%1.%2　"/>
      <w:lvlJc w:val="left"/>
      <w:pPr>
        <w:ind w:left="84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9"/>
      <w:suff w:val="nothing"/>
      <w:lvlText w:val="%1.%2.%3　"/>
      <w:lvlJc w:val="left"/>
      <w:pPr>
        <w:ind w:left="189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6806F7D"/>
    <w:multiLevelType w:val="multilevel"/>
    <w:tmpl w:val="46806F7D"/>
    <w:lvl w:ilvl="0" w:tentative="0">
      <w:start w:val="1"/>
      <w:numFmt w:val="none"/>
      <w:pStyle w:val="7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302902"/>
    <w:multiLevelType w:val="multilevel"/>
    <w:tmpl w:val="4F302902"/>
    <w:lvl w:ilvl="0" w:tentative="0">
      <w:start w:val="1"/>
      <w:numFmt w:val="none"/>
      <w:pStyle w:val="7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50366A"/>
    <w:multiLevelType w:val="multilevel"/>
    <w:tmpl w:val="6350366A"/>
    <w:lvl w:ilvl="0" w:tentative="0">
      <w:start w:val="1"/>
      <w:numFmt w:val="none"/>
      <w:pStyle w:val="8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EA2025"/>
    <w:multiLevelType w:val="multilevel"/>
    <w:tmpl w:val="6CEA2025"/>
    <w:lvl w:ilvl="0" w:tentative="0">
      <w:start w:val="1"/>
      <w:numFmt w:val="none"/>
      <w:pStyle w:val="5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cs="Times New Roman"/>
        <w:b/>
        <w:i w:val="0"/>
        <w:color w:val="auto"/>
        <w:sz w:val="21"/>
      </w:rPr>
    </w:lvl>
    <w:lvl w:ilvl="2" w:tentative="0">
      <w:start w:val="1"/>
      <w:numFmt w:val="decimal"/>
      <w:suff w:val="nothing"/>
      <w:lvlText w:val="%1%2.%3　"/>
      <w:lvlJc w:val="left"/>
      <w:pPr>
        <w:ind w:left="525"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6933334"/>
    <w:multiLevelType w:val="multilevel"/>
    <w:tmpl w:val="76933334"/>
    <w:lvl w:ilvl="0" w:tentative="0">
      <w:start w:val="1"/>
      <w:numFmt w:val="none"/>
      <w:pStyle w:val="8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attachedTemplate r:id="rId1"/>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66E"/>
    <w:rsid w:val="000013E1"/>
    <w:rsid w:val="00001BC5"/>
    <w:rsid w:val="0000429D"/>
    <w:rsid w:val="00005292"/>
    <w:rsid w:val="00006451"/>
    <w:rsid w:val="00006D8E"/>
    <w:rsid w:val="00015797"/>
    <w:rsid w:val="00015A2C"/>
    <w:rsid w:val="0001619C"/>
    <w:rsid w:val="00017FFB"/>
    <w:rsid w:val="0002186E"/>
    <w:rsid w:val="00025322"/>
    <w:rsid w:val="00027FBA"/>
    <w:rsid w:val="00030E21"/>
    <w:rsid w:val="000311ED"/>
    <w:rsid w:val="000364E3"/>
    <w:rsid w:val="00036D4E"/>
    <w:rsid w:val="000370C5"/>
    <w:rsid w:val="0004555D"/>
    <w:rsid w:val="0004570E"/>
    <w:rsid w:val="00045ECC"/>
    <w:rsid w:val="000470C6"/>
    <w:rsid w:val="0004736C"/>
    <w:rsid w:val="000476B2"/>
    <w:rsid w:val="000477C5"/>
    <w:rsid w:val="000542F9"/>
    <w:rsid w:val="00054972"/>
    <w:rsid w:val="00056895"/>
    <w:rsid w:val="00057D0B"/>
    <w:rsid w:val="00063169"/>
    <w:rsid w:val="00064447"/>
    <w:rsid w:val="00065410"/>
    <w:rsid w:val="00067671"/>
    <w:rsid w:val="000679B5"/>
    <w:rsid w:val="00067ECE"/>
    <w:rsid w:val="00070271"/>
    <w:rsid w:val="00070908"/>
    <w:rsid w:val="00072809"/>
    <w:rsid w:val="00073737"/>
    <w:rsid w:val="000773AF"/>
    <w:rsid w:val="00077E95"/>
    <w:rsid w:val="000803A0"/>
    <w:rsid w:val="00081F0A"/>
    <w:rsid w:val="000855DF"/>
    <w:rsid w:val="00086A94"/>
    <w:rsid w:val="000911AC"/>
    <w:rsid w:val="00091B32"/>
    <w:rsid w:val="00095B66"/>
    <w:rsid w:val="000965BB"/>
    <w:rsid w:val="000A0D28"/>
    <w:rsid w:val="000A1192"/>
    <w:rsid w:val="000A2F3C"/>
    <w:rsid w:val="000A2FB1"/>
    <w:rsid w:val="000A321A"/>
    <w:rsid w:val="000A3745"/>
    <w:rsid w:val="000B4F1C"/>
    <w:rsid w:val="000B6FB5"/>
    <w:rsid w:val="000B7B49"/>
    <w:rsid w:val="000C74DF"/>
    <w:rsid w:val="000D5C8F"/>
    <w:rsid w:val="000D73BE"/>
    <w:rsid w:val="000E3526"/>
    <w:rsid w:val="000E4C8C"/>
    <w:rsid w:val="000E4FF8"/>
    <w:rsid w:val="000E58C1"/>
    <w:rsid w:val="000F1959"/>
    <w:rsid w:val="000F41F8"/>
    <w:rsid w:val="000F6070"/>
    <w:rsid w:val="001002CA"/>
    <w:rsid w:val="00102755"/>
    <w:rsid w:val="00102807"/>
    <w:rsid w:val="0010382A"/>
    <w:rsid w:val="00105CE9"/>
    <w:rsid w:val="0010646E"/>
    <w:rsid w:val="00106825"/>
    <w:rsid w:val="00107857"/>
    <w:rsid w:val="00107CC3"/>
    <w:rsid w:val="00113A19"/>
    <w:rsid w:val="00114566"/>
    <w:rsid w:val="00116385"/>
    <w:rsid w:val="001211B6"/>
    <w:rsid w:val="00121A9D"/>
    <w:rsid w:val="00121BBA"/>
    <w:rsid w:val="00122A31"/>
    <w:rsid w:val="00122BE9"/>
    <w:rsid w:val="0012450A"/>
    <w:rsid w:val="0012599C"/>
    <w:rsid w:val="0013139C"/>
    <w:rsid w:val="001315F4"/>
    <w:rsid w:val="00132D83"/>
    <w:rsid w:val="00134B4E"/>
    <w:rsid w:val="00135659"/>
    <w:rsid w:val="00135AB0"/>
    <w:rsid w:val="001410C0"/>
    <w:rsid w:val="00143BB9"/>
    <w:rsid w:val="00143D25"/>
    <w:rsid w:val="00143EB6"/>
    <w:rsid w:val="001461CD"/>
    <w:rsid w:val="0015004B"/>
    <w:rsid w:val="0015194A"/>
    <w:rsid w:val="0015258E"/>
    <w:rsid w:val="00157868"/>
    <w:rsid w:val="001610DA"/>
    <w:rsid w:val="00164CED"/>
    <w:rsid w:val="00165C39"/>
    <w:rsid w:val="00166099"/>
    <w:rsid w:val="00167935"/>
    <w:rsid w:val="00170CC6"/>
    <w:rsid w:val="00171E2B"/>
    <w:rsid w:val="00171F85"/>
    <w:rsid w:val="00172812"/>
    <w:rsid w:val="00174C97"/>
    <w:rsid w:val="00174FFE"/>
    <w:rsid w:val="00177592"/>
    <w:rsid w:val="00177B8B"/>
    <w:rsid w:val="00177C7B"/>
    <w:rsid w:val="001808F1"/>
    <w:rsid w:val="001868F6"/>
    <w:rsid w:val="00190AD0"/>
    <w:rsid w:val="00190D40"/>
    <w:rsid w:val="001920DB"/>
    <w:rsid w:val="001939FF"/>
    <w:rsid w:val="00193C5A"/>
    <w:rsid w:val="00194637"/>
    <w:rsid w:val="00194D7C"/>
    <w:rsid w:val="00197D2C"/>
    <w:rsid w:val="001A0FBE"/>
    <w:rsid w:val="001A1189"/>
    <w:rsid w:val="001A2B3D"/>
    <w:rsid w:val="001A3BFC"/>
    <w:rsid w:val="001B2AB2"/>
    <w:rsid w:val="001B35B6"/>
    <w:rsid w:val="001B3ECB"/>
    <w:rsid w:val="001C0D34"/>
    <w:rsid w:val="001C11B2"/>
    <w:rsid w:val="001C2B82"/>
    <w:rsid w:val="001C318A"/>
    <w:rsid w:val="001C7125"/>
    <w:rsid w:val="001D0D32"/>
    <w:rsid w:val="001D2A2A"/>
    <w:rsid w:val="001D4C4E"/>
    <w:rsid w:val="001D5B3B"/>
    <w:rsid w:val="001D7329"/>
    <w:rsid w:val="001E053C"/>
    <w:rsid w:val="001E13F3"/>
    <w:rsid w:val="001E5DE6"/>
    <w:rsid w:val="001F07B1"/>
    <w:rsid w:val="001F2484"/>
    <w:rsid w:val="001F24F4"/>
    <w:rsid w:val="001F2F5A"/>
    <w:rsid w:val="001F487D"/>
    <w:rsid w:val="001F71E2"/>
    <w:rsid w:val="002034ED"/>
    <w:rsid w:val="00203961"/>
    <w:rsid w:val="00205CC4"/>
    <w:rsid w:val="002062ED"/>
    <w:rsid w:val="0020690C"/>
    <w:rsid w:val="00207009"/>
    <w:rsid w:val="002126BA"/>
    <w:rsid w:val="00214450"/>
    <w:rsid w:val="0021659F"/>
    <w:rsid w:val="00222CD1"/>
    <w:rsid w:val="00223F66"/>
    <w:rsid w:val="00231BD7"/>
    <w:rsid w:val="002328C8"/>
    <w:rsid w:val="0023577A"/>
    <w:rsid w:val="00237B95"/>
    <w:rsid w:val="00240763"/>
    <w:rsid w:val="002419A6"/>
    <w:rsid w:val="00243359"/>
    <w:rsid w:val="0024555A"/>
    <w:rsid w:val="00247FF1"/>
    <w:rsid w:val="0025038D"/>
    <w:rsid w:val="00251EF2"/>
    <w:rsid w:val="00253A95"/>
    <w:rsid w:val="00254C52"/>
    <w:rsid w:val="002561B6"/>
    <w:rsid w:val="0025678A"/>
    <w:rsid w:val="00257D97"/>
    <w:rsid w:val="00270C5A"/>
    <w:rsid w:val="00270FC8"/>
    <w:rsid w:val="0027195E"/>
    <w:rsid w:val="002719AE"/>
    <w:rsid w:val="0027421E"/>
    <w:rsid w:val="002746BB"/>
    <w:rsid w:val="0027564B"/>
    <w:rsid w:val="00287850"/>
    <w:rsid w:val="00287AE2"/>
    <w:rsid w:val="00295D29"/>
    <w:rsid w:val="00297FD0"/>
    <w:rsid w:val="002A4D1C"/>
    <w:rsid w:val="002A5707"/>
    <w:rsid w:val="002A789C"/>
    <w:rsid w:val="002B11BE"/>
    <w:rsid w:val="002B60D5"/>
    <w:rsid w:val="002B62D7"/>
    <w:rsid w:val="002B6653"/>
    <w:rsid w:val="002B68F3"/>
    <w:rsid w:val="002C13BA"/>
    <w:rsid w:val="002C3F3F"/>
    <w:rsid w:val="002C5FD8"/>
    <w:rsid w:val="002D395A"/>
    <w:rsid w:val="002D5980"/>
    <w:rsid w:val="002E21AB"/>
    <w:rsid w:val="002E2318"/>
    <w:rsid w:val="002E6680"/>
    <w:rsid w:val="002F36AF"/>
    <w:rsid w:val="002F3E78"/>
    <w:rsid w:val="002F42F4"/>
    <w:rsid w:val="002F5623"/>
    <w:rsid w:val="00302623"/>
    <w:rsid w:val="00302B04"/>
    <w:rsid w:val="003045B3"/>
    <w:rsid w:val="003047F9"/>
    <w:rsid w:val="00306164"/>
    <w:rsid w:val="0030747E"/>
    <w:rsid w:val="003101F2"/>
    <w:rsid w:val="00310C68"/>
    <w:rsid w:val="00311F14"/>
    <w:rsid w:val="00312037"/>
    <w:rsid w:val="00316013"/>
    <w:rsid w:val="0031766E"/>
    <w:rsid w:val="00323F3A"/>
    <w:rsid w:val="00325C2E"/>
    <w:rsid w:val="00327AE4"/>
    <w:rsid w:val="003300F6"/>
    <w:rsid w:val="00330379"/>
    <w:rsid w:val="00340F4B"/>
    <w:rsid w:val="003445C2"/>
    <w:rsid w:val="003465D5"/>
    <w:rsid w:val="00350C90"/>
    <w:rsid w:val="00351315"/>
    <w:rsid w:val="00351F5B"/>
    <w:rsid w:val="00356287"/>
    <w:rsid w:val="003564A3"/>
    <w:rsid w:val="00356657"/>
    <w:rsid w:val="003572C2"/>
    <w:rsid w:val="00357D91"/>
    <w:rsid w:val="00363238"/>
    <w:rsid w:val="0036482F"/>
    <w:rsid w:val="0037118C"/>
    <w:rsid w:val="003714F7"/>
    <w:rsid w:val="003726CA"/>
    <w:rsid w:val="003744C5"/>
    <w:rsid w:val="00374856"/>
    <w:rsid w:val="003837E0"/>
    <w:rsid w:val="00383B21"/>
    <w:rsid w:val="00384454"/>
    <w:rsid w:val="003945BF"/>
    <w:rsid w:val="0039795E"/>
    <w:rsid w:val="003A35B7"/>
    <w:rsid w:val="003A65C6"/>
    <w:rsid w:val="003B0A47"/>
    <w:rsid w:val="003B119C"/>
    <w:rsid w:val="003B2CBB"/>
    <w:rsid w:val="003B3666"/>
    <w:rsid w:val="003C4A7F"/>
    <w:rsid w:val="003C52FB"/>
    <w:rsid w:val="003D381D"/>
    <w:rsid w:val="003D4474"/>
    <w:rsid w:val="003D51A1"/>
    <w:rsid w:val="003D51F0"/>
    <w:rsid w:val="003D6B9B"/>
    <w:rsid w:val="003E06C8"/>
    <w:rsid w:val="003E32CB"/>
    <w:rsid w:val="003E5739"/>
    <w:rsid w:val="003E5DE3"/>
    <w:rsid w:val="003E610A"/>
    <w:rsid w:val="003E7178"/>
    <w:rsid w:val="003F23AB"/>
    <w:rsid w:val="003F25A9"/>
    <w:rsid w:val="003F31A1"/>
    <w:rsid w:val="003F6337"/>
    <w:rsid w:val="004108A3"/>
    <w:rsid w:val="0041179E"/>
    <w:rsid w:val="00415508"/>
    <w:rsid w:val="004165FE"/>
    <w:rsid w:val="00416B15"/>
    <w:rsid w:val="00421C43"/>
    <w:rsid w:val="00430D00"/>
    <w:rsid w:val="0043355D"/>
    <w:rsid w:val="004341BD"/>
    <w:rsid w:val="00435103"/>
    <w:rsid w:val="00437A08"/>
    <w:rsid w:val="00441F1C"/>
    <w:rsid w:val="00442229"/>
    <w:rsid w:val="0044297D"/>
    <w:rsid w:val="00443F37"/>
    <w:rsid w:val="00446176"/>
    <w:rsid w:val="00446CD4"/>
    <w:rsid w:val="00447F8C"/>
    <w:rsid w:val="00450476"/>
    <w:rsid w:val="004510F8"/>
    <w:rsid w:val="00451F0E"/>
    <w:rsid w:val="00453B8A"/>
    <w:rsid w:val="00454257"/>
    <w:rsid w:val="00455DC7"/>
    <w:rsid w:val="0045643B"/>
    <w:rsid w:val="00456695"/>
    <w:rsid w:val="00456837"/>
    <w:rsid w:val="0046061C"/>
    <w:rsid w:val="00462437"/>
    <w:rsid w:val="00463A8D"/>
    <w:rsid w:val="00467FCB"/>
    <w:rsid w:val="00472974"/>
    <w:rsid w:val="00475FDC"/>
    <w:rsid w:val="00477D1E"/>
    <w:rsid w:val="004803C4"/>
    <w:rsid w:val="00480F96"/>
    <w:rsid w:val="004818F4"/>
    <w:rsid w:val="004826D1"/>
    <w:rsid w:val="0048454A"/>
    <w:rsid w:val="0048510E"/>
    <w:rsid w:val="00485FDE"/>
    <w:rsid w:val="0048683B"/>
    <w:rsid w:val="00487E34"/>
    <w:rsid w:val="00490212"/>
    <w:rsid w:val="004911D1"/>
    <w:rsid w:val="004919F1"/>
    <w:rsid w:val="00497AF2"/>
    <w:rsid w:val="004A1BAD"/>
    <w:rsid w:val="004A3619"/>
    <w:rsid w:val="004A4D9D"/>
    <w:rsid w:val="004A4FF3"/>
    <w:rsid w:val="004A5DAE"/>
    <w:rsid w:val="004A69CA"/>
    <w:rsid w:val="004B159F"/>
    <w:rsid w:val="004B2C6F"/>
    <w:rsid w:val="004B5965"/>
    <w:rsid w:val="004C000A"/>
    <w:rsid w:val="004C0E3A"/>
    <w:rsid w:val="004C37C4"/>
    <w:rsid w:val="004C3E4D"/>
    <w:rsid w:val="004C430D"/>
    <w:rsid w:val="004C4904"/>
    <w:rsid w:val="004C5448"/>
    <w:rsid w:val="004C6EA4"/>
    <w:rsid w:val="004D13A2"/>
    <w:rsid w:val="004D3ED9"/>
    <w:rsid w:val="004D441A"/>
    <w:rsid w:val="004D45AD"/>
    <w:rsid w:val="004D5D11"/>
    <w:rsid w:val="004E0ADF"/>
    <w:rsid w:val="004E0F60"/>
    <w:rsid w:val="004E1644"/>
    <w:rsid w:val="004E187D"/>
    <w:rsid w:val="004E305A"/>
    <w:rsid w:val="004E35FB"/>
    <w:rsid w:val="004E56A8"/>
    <w:rsid w:val="004E5D37"/>
    <w:rsid w:val="004F047A"/>
    <w:rsid w:val="004F0847"/>
    <w:rsid w:val="004F6E71"/>
    <w:rsid w:val="0050170C"/>
    <w:rsid w:val="005024B0"/>
    <w:rsid w:val="00502613"/>
    <w:rsid w:val="0050287C"/>
    <w:rsid w:val="00503B76"/>
    <w:rsid w:val="00504D12"/>
    <w:rsid w:val="00505457"/>
    <w:rsid w:val="00507028"/>
    <w:rsid w:val="0051033B"/>
    <w:rsid w:val="0051042E"/>
    <w:rsid w:val="00513061"/>
    <w:rsid w:val="00514C97"/>
    <w:rsid w:val="00515AF8"/>
    <w:rsid w:val="00516962"/>
    <w:rsid w:val="00516D9A"/>
    <w:rsid w:val="00517714"/>
    <w:rsid w:val="0052145F"/>
    <w:rsid w:val="005232CA"/>
    <w:rsid w:val="00531D0A"/>
    <w:rsid w:val="0053547A"/>
    <w:rsid w:val="005400CB"/>
    <w:rsid w:val="00540CF6"/>
    <w:rsid w:val="00540FD5"/>
    <w:rsid w:val="005501E4"/>
    <w:rsid w:val="00550644"/>
    <w:rsid w:val="00554055"/>
    <w:rsid w:val="00555F90"/>
    <w:rsid w:val="00557A9B"/>
    <w:rsid w:val="00557B2B"/>
    <w:rsid w:val="005610F5"/>
    <w:rsid w:val="00566301"/>
    <w:rsid w:val="00570338"/>
    <w:rsid w:val="005708C4"/>
    <w:rsid w:val="00571D1B"/>
    <w:rsid w:val="005739B8"/>
    <w:rsid w:val="005739FB"/>
    <w:rsid w:val="00573D8F"/>
    <w:rsid w:val="00574EC4"/>
    <w:rsid w:val="00575859"/>
    <w:rsid w:val="005806A9"/>
    <w:rsid w:val="00582225"/>
    <w:rsid w:val="00583C76"/>
    <w:rsid w:val="00585308"/>
    <w:rsid w:val="0058558F"/>
    <w:rsid w:val="00587E8F"/>
    <w:rsid w:val="00590F2B"/>
    <w:rsid w:val="005922C4"/>
    <w:rsid w:val="00593A46"/>
    <w:rsid w:val="00593E30"/>
    <w:rsid w:val="0059541C"/>
    <w:rsid w:val="00597D8E"/>
    <w:rsid w:val="005A2214"/>
    <w:rsid w:val="005A3399"/>
    <w:rsid w:val="005A6542"/>
    <w:rsid w:val="005A76C8"/>
    <w:rsid w:val="005A7736"/>
    <w:rsid w:val="005B0BE1"/>
    <w:rsid w:val="005C076D"/>
    <w:rsid w:val="005D092B"/>
    <w:rsid w:val="005D1B8E"/>
    <w:rsid w:val="005D3244"/>
    <w:rsid w:val="005D6A0C"/>
    <w:rsid w:val="005E4337"/>
    <w:rsid w:val="005E6EAE"/>
    <w:rsid w:val="005F2766"/>
    <w:rsid w:val="005F4DDF"/>
    <w:rsid w:val="005F6718"/>
    <w:rsid w:val="005F6F04"/>
    <w:rsid w:val="005F7538"/>
    <w:rsid w:val="006016E5"/>
    <w:rsid w:val="00604482"/>
    <w:rsid w:val="0060536F"/>
    <w:rsid w:val="00606807"/>
    <w:rsid w:val="006075FB"/>
    <w:rsid w:val="00611838"/>
    <w:rsid w:val="006154E4"/>
    <w:rsid w:val="00621F3B"/>
    <w:rsid w:val="00622333"/>
    <w:rsid w:val="00623844"/>
    <w:rsid w:val="00624196"/>
    <w:rsid w:val="00625784"/>
    <w:rsid w:val="006272B6"/>
    <w:rsid w:val="00627D56"/>
    <w:rsid w:val="0063033D"/>
    <w:rsid w:val="00631B31"/>
    <w:rsid w:val="00631BEE"/>
    <w:rsid w:val="0063309A"/>
    <w:rsid w:val="00634D28"/>
    <w:rsid w:val="00634F42"/>
    <w:rsid w:val="00636B75"/>
    <w:rsid w:val="00636D95"/>
    <w:rsid w:val="00637B5B"/>
    <w:rsid w:val="00637FA3"/>
    <w:rsid w:val="006403BC"/>
    <w:rsid w:val="00640A7D"/>
    <w:rsid w:val="00641434"/>
    <w:rsid w:val="00643EE7"/>
    <w:rsid w:val="006468FD"/>
    <w:rsid w:val="00647D9D"/>
    <w:rsid w:val="00650CBA"/>
    <w:rsid w:val="006552E0"/>
    <w:rsid w:val="006604C5"/>
    <w:rsid w:val="006607AA"/>
    <w:rsid w:val="00662A7E"/>
    <w:rsid w:val="00663EF4"/>
    <w:rsid w:val="006642A7"/>
    <w:rsid w:val="00665ADD"/>
    <w:rsid w:val="00672404"/>
    <w:rsid w:val="00680B97"/>
    <w:rsid w:val="00687430"/>
    <w:rsid w:val="0069024F"/>
    <w:rsid w:val="006A6039"/>
    <w:rsid w:val="006A763D"/>
    <w:rsid w:val="006B2AC6"/>
    <w:rsid w:val="006B3FAB"/>
    <w:rsid w:val="006C3106"/>
    <w:rsid w:val="006C3C3E"/>
    <w:rsid w:val="006C3C96"/>
    <w:rsid w:val="006D04CC"/>
    <w:rsid w:val="006D078F"/>
    <w:rsid w:val="006D28FE"/>
    <w:rsid w:val="006D2E42"/>
    <w:rsid w:val="006D3E3B"/>
    <w:rsid w:val="006D62C5"/>
    <w:rsid w:val="006D6649"/>
    <w:rsid w:val="006E0DBA"/>
    <w:rsid w:val="006E163B"/>
    <w:rsid w:val="006E26F9"/>
    <w:rsid w:val="006E2B23"/>
    <w:rsid w:val="006E50A6"/>
    <w:rsid w:val="006E6F5A"/>
    <w:rsid w:val="006E7B67"/>
    <w:rsid w:val="006F0BA6"/>
    <w:rsid w:val="006F535C"/>
    <w:rsid w:val="006F5AF4"/>
    <w:rsid w:val="006F714D"/>
    <w:rsid w:val="007013C3"/>
    <w:rsid w:val="00702BE3"/>
    <w:rsid w:val="007047AF"/>
    <w:rsid w:val="0070514B"/>
    <w:rsid w:val="007051A2"/>
    <w:rsid w:val="00710616"/>
    <w:rsid w:val="0071078E"/>
    <w:rsid w:val="00711C2C"/>
    <w:rsid w:val="0071205C"/>
    <w:rsid w:val="007125B7"/>
    <w:rsid w:val="00715223"/>
    <w:rsid w:val="007152CC"/>
    <w:rsid w:val="00715490"/>
    <w:rsid w:val="00715D5C"/>
    <w:rsid w:val="00717DB4"/>
    <w:rsid w:val="00727B6B"/>
    <w:rsid w:val="0073513B"/>
    <w:rsid w:val="007365EA"/>
    <w:rsid w:val="0073776A"/>
    <w:rsid w:val="00737A5A"/>
    <w:rsid w:val="00741A92"/>
    <w:rsid w:val="007429AC"/>
    <w:rsid w:val="007448D6"/>
    <w:rsid w:val="00745681"/>
    <w:rsid w:val="00745AAF"/>
    <w:rsid w:val="0075423F"/>
    <w:rsid w:val="0075497E"/>
    <w:rsid w:val="007555B8"/>
    <w:rsid w:val="0075654B"/>
    <w:rsid w:val="00756CEF"/>
    <w:rsid w:val="00757DD5"/>
    <w:rsid w:val="00762864"/>
    <w:rsid w:val="00764C9F"/>
    <w:rsid w:val="00765DEA"/>
    <w:rsid w:val="00766703"/>
    <w:rsid w:val="00766867"/>
    <w:rsid w:val="00766AA4"/>
    <w:rsid w:val="00770FC7"/>
    <w:rsid w:val="0077145C"/>
    <w:rsid w:val="00772EE4"/>
    <w:rsid w:val="00773639"/>
    <w:rsid w:val="00773D97"/>
    <w:rsid w:val="00773F2F"/>
    <w:rsid w:val="0077528D"/>
    <w:rsid w:val="00776519"/>
    <w:rsid w:val="00780A8E"/>
    <w:rsid w:val="00784F14"/>
    <w:rsid w:val="00793943"/>
    <w:rsid w:val="007A2F5A"/>
    <w:rsid w:val="007A2F6E"/>
    <w:rsid w:val="007A46B3"/>
    <w:rsid w:val="007A4C9A"/>
    <w:rsid w:val="007A649E"/>
    <w:rsid w:val="007B045E"/>
    <w:rsid w:val="007B0A6A"/>
    <w:rsid w:val="007B0AEB"/>
    <w:rsid w:val="007B2CE9"/>
    <w:rsid w:val="007B3E4C"/>
    <w:rsid w:val="007C0F2F"/>
    <w:rsid w:val="007C1FA3"/>
    <w:rsid w:val="007C38D6"/>
    <w:rsid w:val="007C5495"/>
    <w:rsid w:val="007C645F"/>
    <w:rsid w:val="007C74DA"/>
    <w:rsid w:val="007D1A1D"/>
    <w:rsid w:val="007D4C66"/>
    <w:rsid w:val="007D5C95"/>
    <w:rsid w:val="007D758E"/>
    <w:rsid w:val="007E1327"/>
    <w:rsid w:val="007E2ED7"/>
    <w:rsid w:val="007E489E"/>
    <w:rsid w:val="007E52C7"/>
    <w:rsid w:val="007E562E"/>
    <w:rsid w:val="007E5C11"/>
    <w:rsid w:val="007E5F06"/>
    <w:rsid w:val="007E6CA6"/>
    <w:rsid w:val="007F1B25"/>
    <w:rsid w:val="007F256B"/>
    <w:rsid w:val="007F2E03"/>
    <w:rsid w:val="007F3143"/>
    <w:rsid w:val="007F4C9F"/>
    <w:rsid w:val="008068DF"/>
    <w:rsid w:val="00806993"/>
    <w:rsid w:val="00810F00"/>
    <w:rsid w:val="008120FE"/>
    <w:rsid w:val="00816611"/>
    <w:rsid w:val="0082181F"/>
    <w:rsid w:val="008218DA"/>
    <w:rsid w:val="008222EE"/>
    <w:rsid w:val="00822CD0"/>
    <w:rsid w:val="008235A6"/>
    <w:rsid w:val="00824416"/>
    <w:rsid w:val="00833C64"/>
    <w:rsid w:val="0083580B"/>
    <w:rsid w:val="008370EB"/>
    <w:rsid w:val="00837BCF"/>
    <w:rsid w:val="00842B5D"/>
    <w:rsid w:val="00845E35"/>
    <w:rsid w:val="00846784"/>
    <w:rsid w:val="00847236"/>
    <w:rsid w:val="0084737C"/>
    <w:rsid w:val="00851827"/>
    <w:rsid w:val="0085521F"/>
    <w:rsid w:val="00855929"/>
    <w:rsid w:val="0085607B"/>
    <w:rsid w:val="0086323B"/>
    <w:rsid w:val="00863AC0"/>
    <w:rsid w:val="00864023"/>
    <w:rsid w:val="00866D3B"/>
    <w:rsid w:val="00867DE4"/>
    <w:rsid w:val="008707D6"/>
    <w:rsid w:val="008726D1"/>
    <w:rsid w:val="00875F76"/>
    <w:rsid w:val="00876874"/>
    <w:rsid w:val="00882147"/>
    <w:rsid w:val="0088334F"/>
    <w:rsid w:val="0088449D"/>
    <w:rsid w:val="00887104"/>
    <w:rsid w:val="00887135"/>
    <w:rsid w:val="008874F1"/>
    <w:rsid w:val="008901E6"/>
    <w:rsid w:val="008913A6"/>
    <w:rsid w:val="00892227"/>
    <w:rsid w:val="00892285"/>
    <w:rsid w:val="00894C1F"/>
    <w:rsid w:val="008954F1"/>
    <w:rsid w:val="00896AC8"/>
    <w:rsid w:val="00897A1E"/>
    <w:rsid w:val="008A0217"/>
    <w:rsid w:val="008A0699"/>
    <w:rsid w:val="008A25F1"/>
    <w:rsid w:val="008A31E7"/>
    <w:rsid w:val="008A432D"/>
    <w:rsid w:val="008A4DCA"/>
    <w:rsid w:val="008A6FD3"/>
    <w:rsid w:val="008A71FC"/>
    <w:rsid w:val="008B2B63"/>
    <w:rsid w:val="008B2D53"/>
    <w:rsid w:val="008B4053"/>
    <w:rsid w:val="008C05C0"/>
    <w:rsid w:val="008C3706"/>
    <w:rsid w:val="008C6B16"/>
    <w:rsid w:val="008C7DF6"/>
    <w:rsid w:val="008D0BB5"/>
    <w:rsid w:val="008D241E"/>
    <w:rsid w:val="008D750D"/>
    <w:rsid w:val="008E08FB"/>
    <w:rsid w:val="008F2079"/>
    <w:rsid w:val="008F380C"/>
    <w:rsid w:val="008F3E61"/>
    <w:rsid w:val="008F5174"/>
    <w:rsid w:val="008F5773"/>
    <w:rsid w:val="008F6633"/>
    <w:rsid w:val="008F7DCB"/>
    <w:rsid w:val="009041A0"/>
    <w:rsid w:val="00906CE9"/>
    <w:rsid w:val="00907730"/>
    <w:rsid w:val="00912C67"/>
    <w:rsid w:val="009131CA"/>
    <w:rsid w:val="009141ED"/>
    <w:rsid w:val="00914916"/>
    <w:rsid w:val="009149DC"/>
    <w:rsid w:val="00915E03"/>
    <w:rsid w:val="0092013F"/>
    <w:rsid w:val="00922B8F"/>
    <w:rsid w:val="009233DB"/>
    <w:rsid w:val="00924B27"/>
    <w:rsid w:val="00927C60"/>
    <w:rsid w:val="0093534C"/>
    <w:rsid w:val="00936CC6"/>
    <w:rsid w:val="00936E82"/>
    <w:rsid w:val="009420F9"/>
    <w:rsid w:val="009461E1"/>
    <w:rsid w:val="00950432"/>
    <w:rsid w:val="00950A4C"/>
    <w:rsid w:val="00950EEA"/>
    <w:rsid w:val="0095136E"/>
    <w:rsid w:val="00952503"/>
    <w:rsid w:val="00952D1B"/>
    <w:rsid w:val="00952DF4"/>
    <w:rsid w:val="0095367B"/>
    <w:rsid w:val="00957AC3"/>
    <w:rsid w:val="009658A5"/>
    <w:rsid w:val="009667B3"/>
    <w:rsid w:val="009704BE"/>
    <w:rsid w:val="00973A64"/>
    <w:rsid w:val="00974DF3"/>
    <w:rsid w:val="009770CC"/>
    <w:rsid w:val="00980544"/>
    <w:rsid w:val="00982AFE"/>
    <w:rsid w:val="0098314F"/>
    <w:rsid w:val="00985B46"/>
    <w:rsid w:val="00986243"/>
    <w:rsid w:val="00987366"/>
    <w:rsid w:val="0098795A"/>
    <w:rsid w:val="00990399"/>
    <w:rsid w:val="009914E8"/>
    <w:rsid w:val="00994493"/>
    <w:rsid w:val="009A524E"/>
    <w:rsid w:val="009A5B44"/>
    <w:rsid w:val="009B6427"/>
    <w:rsid w:val="009B7D34"/>
    <w:rsid w:val="009C5311"/>
    <w:rsid w:val="009D14E9"/>
    <w:rsid w:val="009D2B96"/>
    <w:rsid w:val="009D3BC5"/>
    <w:rsid w:val="009D4F52"/>
    <w:rsid w:val="009D678C"/>
    <w:rsid w:val="009E4704"/>
    <w:rsid w:val="009E7A4C"/>
    <w:rsid w:val="009E7DFB"/>
    <w:rsid w:val="009F3A02"/>
    <w:rsid w:val="009F4F83"/>
    <w:rsid w:val="009F63AB"/>
    <w:rsid w:val="009F7AED"/>
    <w:rsid w:val="00A020D4"/>
    <w:rsid w:val="00A027D8"/>
    <w:rsid w:val="00A02C1C"/>
    <w:rsid w:val="00A03FBD"/>
    <w:rsid w:val="00A05D8E"/>
    <w:rsid w:val="00A06C29"/>
    <w:rsid w:val="00A06C95"/>
    <w:rsid w:val="00A0763B"/>
    <w:rsid w:val="00A177B0"/>
    <w:rsid w:val="00A20908"/>
    <w:rsid w:val="00A2538C"/>
    <w:rsid w:val="00A27965"/>
    <w:rsid w:val="00A30F53"/>
    <w:rsid w:val="00A34137"/>
    <w:rsid w:val="00A34E3B"/>
    <w:rsid w:val="00A42BE6"/>
    <w:rsid w:val="00A448B5"/>
    <w:rsid w:val="00A45B42"/>
    <w:rsid w:val="00A47A97"/>
    <w:rsid w:val="00A525E0"/>
    <w:rsid w:val="00A54B4E"/>
    <w:rsid w:val="00A5684D"/>
    <w:rsid w:val="00A62F18"/>
    <w:rsid w:val="00A63340"/>
    <w:rsid w:val="00A64351"/>
    <w:rsid w:val="00A6533E"/>
    <w:rsid w:val="00A65F7C"/>
    <w:rsid w:val="00A66C51"/>
    <w:rsid w:val="00A71F3C"/>
    <w:rsid w:val="00A81410"/>
    <w:rsid w:val="00A82FA4"/>
    <w:rsid w:val="00A832C1"/>
    <w:rsid w:val="00A832F8"/>
    <w:rsid w:val="00A84380"/>
    <w:rsid w:val="00A86409"/>
    <w:rsid w:val="00A9222D"/>
    <w:rsid w:val="00A92DF0"/>
    <w:rsid w:val="00A94644"/>
    <w:rsid w:val="00A9763F"/>
    <w:rsid w:val="00AA204B"/>
    <w:rsid w:val="00AA3133"/>
    <w:rsid w:val="00AA43DB"/>
    <w:rsid w:val="00AA6382"/>
    <w:rsid w:val="00AA6FE9"/>
    <w:rsid w:val="00AB054F"/>
    <w:rsid w:val="00AB151E"/>
    <w:rsid w:val="00AB1DAC"/>
    <w:rsid w:val="00AB2D04"/>
    <w:rsid w:val="00AB2EC9"/>
    <w:rsid w:val="00AB5343"/>
    <w:rsid w:val="00AC0B3D"/>
    <w:rsid w:val="00AC0DFD"/>
    <w:rsid w:val="00AC22DF"/>
    <w:rsid w:val="00AC4893"/>
    <w:rsid w:val="00AC591E"/>
    <w:rsid w:val="00AC73CD"/>
    <w:rsid w:val="00AC79A4"/>
    <w:rsid w:val="00AD1671"/>
    <w:rsid w:val="00AD1DDF"/>
    <w:rsid w:val="00AD2960"/>
    <w:rsid w:val="00AD5AE8"/>
    <w:rsid w:val="00AD6D11"/>
    <w:rsid w:val="00AD7B8B"/>
    <w:rsid w:val="00AE1AFD"/>
    <w:rsid w:val="00AE2470"/>
    <w:rsid w:val="00AE3211"/>
    <w:rsid w:val="00AE785F"/>
    <w:rsid w:val="00AF1FA2"/>
    <w:rsid w:val="00AF3C5D"/>
    <w:rsid w:val="00AF3CCA"/>
    <w:rsid w:val="00AF3FF0"/>
    <w:rsid w:val="00AF4137"/>
    <w:rsid w:val="00AF66E4"/>
    <w:rsid w:val="00B01062"/>
    <w:rsid w:val="00B0167F"/>
    <w:rsid w:val="00B06DCE"/>
    <w:rsid w:val="00B120A3"/>
    <w:rsid w:val="00B13AA8"/>
    <w:rsid w:val="00B20996"/>
    <w:rsid w:val="00B21D97"/>
    <w:rsid w:val="00B24162"/>
    <w:rsid w:val="00B24AAD"/>
    <w:rsid w:val="00B25837"/>
    <w:rsid w:val="00B265DE"/>
    <w:rsid w:val="00B2679C"/>
    <w:rsid w:val="00B276B4"/>
    <w:rsid w:val="00B27EF4"/>
    <w:rsid w:val="00B316FC"/>
    <w:rsid w:val="00B342BF"/>
    <w:rsid w:val="00B36F8B"/>
    <w:rsid w:val="00B3776C"/>
    <w:rsid w:val="00B40FFF"/>
    <w:rsid w:val="00B42838"/>
    <w:rsid w:val="00B437D1"/>
    <w:rsid w:val="00B446CF"/>
    <w:rsid w:val="00B453A1"/>
    <w:rsid w:val="00B46BD2"/>
    <w:rsid w:val="00B478F1"/>
    <w:rsid w:val="00B50768"/>
    <w:rsid w:val="00B6035A"/>
    <w:rsid w:val="00B60B96"/>
    <w:rsid w:val="00B6155F"/>
    <w:rsid w:val="00B62C83"/>
    <w:rsid w:val="00B66C5E"/>
    <w:rsid w:val="00B6739B"/>
    <w:rsid w:val="00B776FD"/>
    <w:rsid w:val="00B80E07"/>
    <w:rsid w:val="00B81E01"/>
    <w:rsid w:val="00B832A7"/>
    <w:rsid w:val="00B83E96"/>
    <w:rsid w:val="00B84CF2"/>
    <w:rsid w:val="00B90213"/>
    <w:rsid w:val="00B9324F"/>
    <w:rsid w:val="00B938D7"/>
    <w:rsid w:val="00B93F63"/>
    <w:rsid w:val="00BA2F5B"/>
    <w:rsid w:val="00BA4198"/>
    <w:rsid w:val="00BA4E9F"/>
    <w:rsid w:val="00BA5076"/>
    <w:rsid w:val="00BB4B8D"/>
    <w:rsid w:val="00BB538D"/>
    <w:rsid w:val="00BB6049"/>
    <w:rsid w:val="00BC47E5"/>
    <w:rsid w:val="00BD0575"/>
    <w:rsid w:val="00BD0BBB"/>
    <w:rsid w:val="00BD0E7A"/>
    <w:rsid w:val="00BD121D"/>
    <w:rsid w:val="00BE0E95"/>
    <w:rsid w:val="00BE1582"/>
    <w:rsid w:val="00BE1905"/>
    <w:rsid w:val="00BE3F4C"/>
    <w:rsid w:val="00BE5EA7"/>
    <w:rsid w:val="00BE60D4"/>
    <w:rsid w:val="00BE6809"/>
    <w:rsid w:val="00BE6BBE"/>
    <w:rsid w:val="00BF165F"/>
    <w:rsid w:val="00BF1797"/>
    <w:rsid w:val="00BF280F"/>
    <w:rsid w:val="00BF4A13"/>
    <w:rsid w:val="00BF55EB"/>
    <w:rsid w:val="00BF6033"/>
    <w:rsid w:val="00BF7FD6"/>
    <w:rsid w:val="00C01095"/>
    <w:rsid w:val="00C031D1"/>
    <w:rsid w:val="00C03362"/>
    <w:rsid w:val="00C05846"/>
    <w:rsid w:val="00C06054"/>
    <w:rsid w:val="00C06A00"/>
    <w:rsid w:val="00C0750D"/>
    <w:rsid w:val="00C12219"/>
    <w:rsid w:val="00C13F10"/>
    <w:rsid w:val="00C14AB4"/>
    <w:rsid w:val="00C167BE"/>
    <w:rsid w:val="00C24B30"/>
    <w:rsid w:val="00C3090A"/>
    <w:rsid w:val="00C330EF"/>
    <w:rsid w:val="00C35B8D"/>
    <w:rsid w:val="00C35F1D"/>
    <w:rsid w:val="00C4027F"/>
    <w:rsid w:val="00C40D44"/>
    <w:rsid w:val="00C40EBC"/>
    <w:rsid w:val="00C41022"/>
    <w:rsid w:val="00C444C6"/>
    <w:rsid w:val="00C46D43"/>
    <w:rsid w:val="00C50414"/>
    <w:rsid w:val="00C5286F"/>
    <w:rsid w:val="00C55528"/>
    <w:rsid w:val="00C568CB"/>
    <w:rsid w:val="00C56C19"/>
    <w:rsid w:val="00C60F01"/>
    <w:rsid w:val="00C667CD"/>
    <w:rsid w:val="00C66CEA"/>
    <w:rsid w:val="00C72403"/>
    <w:rsid w:val="00C77FB6"/>
    <w:rsid w:val="00C82B5A"/>
    <w:rsid w:val="00C86464"/>
    <w:rsid w:val="00C9290D"/>
    <w:rsid w:val="00C93D6B"/>
    <w:rsid w:val="00C95872"/>
    <w:rsid w:val="00C96756"/>
    <w:rsid w:val="00C979B6"/>
    <w:rsid w:val="00CA04D1"/>
    <w:rsid w:val="00CA073E"/>
    <w:rsid w:val="00CA21CB"/>
    <w:rsid w:val="00CA2943"/>
    <w:rsid w:val="00CA439C"/>
    <w:rsid w:val="00CA4D0B"/>
    <w:rsid w:val="00CB1746"/>
    <w:rsid w:val="00CB3A6F"/>
    <w:rsid w:val="00CB579A"/>
    <w:rsid w:val="00CB6BC5"/>
    <w:rsid w:val="00CC0DC1"/>
    <w:rsid w:val="00CC1E8C"/>
    <w:rsid w:val="00CC2648"/>
    <w:rsid w:val="00CC2AE5"/>
    <w:rsid w:val="00CC6D7D"/>
    <w:rsid w:val="00CD040A"/>
    <w:rsid w:val="00CD0D9B"/>
    <w:rsid w:val="00CD19B8"/>
    <w:rsid w:val="00CD5334"/>
    <w:rsid w:val="00CD5359"/>
    <w:rsid w:val="00CE0307"/>
    <w:rsid w:val="00CE0F14"/>
    <w:rsid w:val="00CE1224"/>
    <w:rsid w:val="00CE1DE7"/>
    <w:rsid w:val="00CE1E99"/>
    <w:rsid w:val="00CE38C0"/>
    <w:rsid w:val="00CE3E6F"/>
    <w:rsid w:val="00CE43F1"/>
    <w:rsid w:val="00CE4E8B"/>
    <w:rsid w:val="00CE6146"/>
    <w:rsid w:val="00CE6BF6"/>
    <w:rsid w:val="00CF03EE"/>
    <w:rsid w:val="00CF0444"/>
    <w:rsid w:val="00CF1B34"/>
    <w:rsid w:val="00CF4B2B"/>
    <w:rsid w:val="00D10C38"/>
    <w:rsid w:val="00D10D4C"/>
    <w:rsid w:val="00D1185F"/>
    <w:rsid w:val="00D136DF"/>
    <w:rsid w:val="00D16B28"/>
    <w:rsid w:val="00D202D6"/>
    <w:rsid w:val="00D22D4C"/>
    <w:rsid w:val="00D2314F"/>
    <w:rsid w:val="00D24D55"/>
    <w:rsid w:val="00D275D9"/>
    <w:rsid w:val="00D32745"/>
    <w:rsid w:val="00D33D7E"/>
    <w:rsid w:val="00D506A5"/>
    <w:rsid w:val="00D52890"/>
    <w:rsid w:val="00D63953"/>
    <w:rsid w:val="00D655FD"/>
    <w:rsid w:val="00D72737"/>
    <w:rsid w:val="00D73E2C"/>
    <w:rsid w:val="00D75300"/>
    <w:rsid w:val="00D753E8"/>
    <w:rsid w:val="00D814C8"/>
    <w:rsid w:val="00D81A2A"/>
    <w:rsid w:val="00D81CCC"/>
    <w:rsid w:val="00D829FA"/>
    <w:rsid w:val="00D83E71"/>
    <w:rsid w:val="00D877B6"/>
    <w:rsid w:val="00D93A46"/>
    <w:rsid w:val="00D95D3E"/>
    <w:rsid w:val="00DA0F21"/>
    <w:rsid w:val="00DA18D4"/>
    <w:rsid w:val="00DA2C98"/>
    <w:rsid w:val="00DA3286"/>
    <w:rsid w:val="00DA4F44"/>
    <w:rsid w:val="00DA50BF"/>
    <w:rsid w:val="00DA5EA3"/>
    <w:rsid w:val="00DA70F6"/>
    <w:rsid w:val="00DB0F40"/>
    <w:rsid w:val="00DB63C3"/>
    <w:rsid w:val="00DB656B"/>
    <w:rsid w:val="00DB679D"/>
    <w:rsid w:val="00DB69F0"/>
    <w:rsid w:val="00DB7B7C"/>
    <w:rsid w:val="00DC348E"/>
    <w:rsid w:val="00DC3D71"/>
    <w:rsid w:val="00DC4E5D"/>
    <w:rsid w:val="00DC534F"/>
    <w:rsid w:val="00DC5A7B"/>
    <w:rsid w:val="00DC65F0"/>
    <w:rsid w:val="00DC6859"/>
    <w:rsid w:val="00DC6D63"/>
    <w:rsid w:val="00DC7552"/>
    <w:rsid w:val="00DD10A2"/>
    <w:rsid w:val="00DD38AE"/>
    <w:rsid w:val="00DD6531"/>
    <w:rsid w:val="00DE5434"/>
    <w:rsid w:val="00DE5456"/>
    <w:rsid w:val="00DE61C3"/>
    <w:rsid w:val="00DF1157"/>
    <w:rsid w:val="00DF5DC1"/>
    <w:rsid w:val="00DF6B19"/>
    <w:rsid w:val="00E00083"/>
    <w:rsid w:val="00E04252"/>
    <w:rsid w:val="00E05989"/>
    <w:rsid w:val="00E06911"/>
    <w:rsid w:val="00E07193"/>
    <w:rsid w:val="00E1104E"/>
    <w:rsid w:val="00E1232D"/>
    <w:rsid w:val="00E1236B"/>
    <w:rsid w:val="00E12DCC"/>
    <w:rsid w:val="00E13922"/>
    <w:rsid w:val="00E149EB"/>
    <w:rsid w:val="00E1651F"/>
    <w:rsid w:val="00E26EA7"/>
    <w:rsid w:val="00E27545"/>
    <w:rsid w:val="00E31067"/>
    <w:rsid w:val="00E31EE2"/>
    <w:rsid w:val="00E32467"/>
    <w:rsid w:val="00E3518B"/>
    <w:rsid w:val="00E35648"/>
    <w:rsid w:val="00E419CA"/>
    <w:rsid w:val="00E4715E"/>
    <w:rsid w:val="00E478B6"/>
    <w:rsid w:val="00E47DA9"/>
    <w:rsid w:val="00E516B1"/>
    <w:rsid w:val="00E51763"/>
    <w:rsid w:val="00E526F9"/>
    <w:rsid w:val="00E566E7"/>
    <w:rsid w:val="00E56EDE"/>
    <w:rsid w:val="00E60871"/>
    <w:rsid w:val="00E611AB"/>
    <w:rsid w:val="00E617C9"/>
    <w:rsid w:val="00E62251"/>
    <w:rsid w:val="00E633BF"/>
    <w:rsid w:val="00E64509"/>
    <w:rsid w:val="00E70B93"/>
    <w:rsid w:val="00E72D07"/>
    <w:rsid w:val="00E738F1"/>
    <w:rsid w:val="00E73A95"/>
    <w:rsid w:val="00E74DB3"/>
    <w:rsid w:val="00E75DE6"/>
    <w:rsid w:val="00E77584"/>
    <w:rsid w:val="00E8172E"/>
    <w:rsid w:val="00E81864"/>
    <w:rsid w:val="00E81AF7"/>
    <w:rsid w:val="00E8280B"/>
    <w:rsid w:val="00E829CC"/>
    <w:rsid w:val="00E85E5A"/>
    <w:rsid w:val="00E928B1"/>
    <w:rsid w:val="00E94C64"/>
    <w:rsid w:val="00E95A43"/>
    <w:rsid w:val="00EA04CC"/>
    <w:rsid w:val="00EA3987"/>
    <w:rsid w:val="00EA3EB3"/>
    <w:rsid w:val="00EA4986"/>
    <w:rsid w:val="00EA5945"/>
    <w:rsid w:val="00EA6873"/>
    <w:rsid w:val="00EB0DA5"/>
    <w:rsid w:val="00EB1984"/>
    <w:rsid w:val="00EB2B7B"/>
    <w:rsid w:val="00EB2D6C"/>
    <w:rsid w:val="00EB379A"/>
    <w:rsid w:val="00EB3A18"/>
    <w:rsid w:val="00EB67D8"/>
    <w:rsid w:val="00EB6B14"/>
    <w:rsid w:val="00EB75AA"/>
    <w:rsid w:val="00EC04FB"/>
    <w:rsid w:val="00EC14F7"/>
    <w:rsid w:val="00EC1EF0"/>
    <w:rsid w:val="00EC2CF1"/>
    <w:rsid w:val="00EC32D3"/>
    <w:rsid w:val="00ED3E0D"/>
    <w:rsid w:val="00ED5FC0"/>
    <w:rsid w:val="00ED645B"/>
    <w:rsid w:val="00ED6AAF"/>
    <w:rsid w:val="00EE1C91"/>
    <w:rsid w:val="00EE5268"/>
    <w:rsid w:val="00EF3844"/>
    <w:rsid w:val="00EF3EBE"/>
    <w:rsid w:val="00EF4F96"/>
    <w:rsid w:val="00EF5756"/>
    <w:rsid w:val="00EF6AD4"/>
    <w:rsid w:val="00F04F92"/>
    <w:rsid w:val="00F10818"/>
    <w:rsid w:val="00F12F31"/>
    <w:rsid w:val="00F13553"/>
    <w:rsid w:val="00F2272D"/>
    <w:rsid w:val="00F22EF1"/>
    <w:rsid w:val="00F235EA"/>
    <w:rsid w:val="00F23D08"/>
    <w:rsid w:val="00F252F0"/>
    <w:rsid w:val="00F3633D"/>
    <w:rsid w:val="00F36E18"/>
    <w:rsid w:val="00F36E4D"/>
    <w:rsid w:val="00F36E62"/>
    <w:rsid w:val="00F41CA0"/>
    <w:rsid w:val="00F41E91"/>
    <w:rsid w:val="00F42722"/>
    <w:rsid w:val="00F45D5E"/>
    <w:rsid w:val="00F53055"/>
    <w:rsid w:val="00F54BE0"/>
    <w:rsid w:val="00F550FD"/>
    <w:rsid w:val="00F61211"/>
    <w:rsid w:val="00F62724"/>
    <w:rsid w:val="00F659E7"/>
    <w:rsid w:val="00F6741A"/>
    <w:rsid w:val="00F81C10"/>
    <w:rsid w:val="00F82A33"/>
    <w:rsid w:val="00F86C64"/>
    <w:rsid w:val="00F90A6B"/>
    <w:rsid w:val="00F921F3"/>
    <w:rsid w:val="00F935C4"/>
    <w:rsid w:val="00F95B59"/>
    <w:rsid w:val="00F9744F"/>
    <w:rsid w:val="00F97658"/>
    <w:rsid w:val="00F9772F"/>
    <w:rsid w:val="00FA209A"/>
    <w:rsid w:val="00FA230F"/>
    <w:rsid w:val="00FA2D50"/>
    <w:rsid w:val="00FA3756"/>
    <w:rsid w:val="00FA6387"/>
    <w:rsid w:val="00FA703B"/>
    <w:rsid w:val="00FB4D82"/>
    <w:rsid w:val="00FB7A8E"/>
    <w:rsid w:val="00FC2059"/>
    <w:rsid w:val="00FC70F7"/>
    <w:rsid w:val="00FC7D5B"/>
    <w:rsid w:val="00FD1FF6"/>
    <w:rsid w:val="00FD2769"/>
    <w:rsid w:val="00FD5798"/>
    <w:rsid w:val="00FD7270"/>
    <w:rsid w:val="00FD744C"/>
    <w:rsid w:val="00FE2FF9"/>
    <w:rsid w:val="00FE47B7"/>
    <w:rsid w:val="00FF33A8"/>
    <w:rsid w:val="00FF3616"/>
    <w:rsid w:val="00FF40BD"/>
    <w:rsid w:val="00FF51E9"/>
    <w:rsid w:val="00FF6734"/>
    <w:rsid w:val="6218185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nhideWhenUsed="0" w:uiPriority="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uiPriority w:val="0"/>
  </w:style>
  <w:style w:type="paragraph" w:styleId="13">
    <w:name w:val="toc 5"/>
    <w:basedOn w:val="14"/>
    <w:next w:val="1"/>
    <w:semiHidden/>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Body Text Indent"/>
    <w:basedOn w:val="1"/>
    <w:semiHidden/>
    <w:uiPriority w:val="0"/>
    <w:pPr>
      <w:ind w:firstLine="420" w:firstLineChars="200"/>
    </w:pPr>
  </w:style>
  <w:style w:type="paragraph" w:styleId="19">
    <w:name w:val="HTML Address"/>
    <w:basedOn w:val="1"/>
    <w:semiHidden/>
    <w:qFormat/>
    <w:uiPriority w:val="0"/>
    <w:rPr>
      <w:i/>
      <w:iCs/>
    </w:rPr>
  </w:style>
  <w:style w:type="paragraph" w:styleId="20">
    <w:name w:val="toc 8"/>
    <w:basedOn w:val="11"/>
    <w:next w:val="1"/>
    <w:semiHidden/>
    <w:uiPriority w:val="0"/>
  </w:style>
  <w:style w:type="paragraph" w:styleId="21">
    <w:name w:val="Date"/>
    <w:basedOn w:val="1"/>
    <w:next w:val="1"/>
    <w:uiPriority w:val="0"/>
    <w:pPr>
      <w:ind w:left="100" w:leftChars="2500"/>
    </w:pPr>
  </w:style>
  <w:style w:type="paragraph" w:styleId="22">
    <w:name w:val="Body Text Indent 2"/>
    <w:basedOn w:val="1"/>
    <w:link w:val="105"/>
    <w:semiHidden/>
    <w:unhideWhenUsed/>
    <w:uiPriority w:val="99"/>
    <w:pPr>
      <w:spacing w:after="120" w:line="480" w:lineRule="auto"/>
      <w:ind w:left="420" w:leftChars="200"/>
    </w:pPr>
  </w:style>
  <w:style w:type="paragraph" w:styleId="23">
    <w:name w:val="Balloon Text"/>
    <w:basedOn w:val="1"/>
    <w:semiHidden/>
    <w:uiPriority w:val="0"/>
    <w:rPr>
      <w:sz w:val="18"/>
      <w:szCs w:val="18"/>
    </w:rPr>
  </w:style>
  <w:style w:type="paragraph" w:styleId="24">
    <w:name w:val="footer"/>
    <w:basedOn w:val="1"/>
    <w:semiHidden/>
    <w:uiPriority w:val="0"/>
    <w:pPr>
      <w:tabs>
        <w:tab w:val="center" w:pos="4153"/>
        <w:tab w:val="right" w:pos="8306"/>
      </w:tabs>
      <w:snapToGrid w:val="0"/>
      <w:ind w:right="210" w:rightChars="100"/>
      <w:jc w:val="right"/>
    </w:pPr>
    <w:rPr>
      <w:sz w:val="18"/>
      <w:szCs w:val="18"/>
    </w:rPr>
  </w:style>
  <w:style w:type="paragraph" w:styleId="25">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uiPriority w:val="0"/>
    <w:pPr>
      <w:snapToGrid w:val="0"/>
      <w:jc w:val="left"/>
    </w:pPr>
    <w:rPr>
      <w:sz w:val="18"/>
      <w:szCs w:val="18"/>
    </w:rPr>
  </w:style>
  <w:style w:type="paragraph" w:styleId="27">
    <w:name w:val="toc 9"/>
    <w:basedOn w:val="20"/>
    <w:next w:val="1"/>
    <w:semiHidden/>
    <w:uiPriority w:val="0"/>
  </w:style>
  <w:style w:type="paragraph" w:styleId="28">
    <w:name w:val="HTML Preformatted"/>
    <w:basedOn w:val="1"/>
    <w:semiHidden/>
    <w:qFormat/>
    <w:uiPriority w:val="0"/>
    <w:rPr>
      <w:rFonts w:ascii="Courier New" w:hAnsi="Courier New" w:cs="Courier New"/>
      <w:sz w:val="20"/>
      <w:szCs w:val="20"/>
    </w:rPr>
  </w:style>
  <w:style w:type="paragraph" w:styleId="29">
    <w:name w:val="index 2"/>
    <w:basedOn w:val="1"/>
    <w:next w:val="1"/>
    <w:uiPriority w:val="0"/>
    <w:pPr>
      <w:ind w:left="420" w:hanging="210"/>
      <w:jc w:val="left"/>
    </w:pPr>
    <w:rPr>
      <w:rFonts w:ascii="Calibri" w:hAnsi="Calibri"/>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semiHidden/>
    <w:uiPriority w:val="0"/>
    <w:rPr>
      <w:rFonts w:ascii="Times New Roman" w:hAnsi="Times New Roman" w:eastAsia="宋体"/>
      <w:sz w:val="18"/>
    </w:rPr>
  </w:style>
  <w:style w:type="character" w:styleId="35">
    <w:name w:val="FollowedHyperlink"/>
    <w:semiHidden/>
    <w:uiPriority w:val="0"/>
    <w:rPr>
      <w:color w:val="800080"/>
      <w:u w:val="single"/>
    </w:rPr>
  </w:style>
  <w:style w:type="character" w:styleId="36">
    <w:name w:val="Emphasis"/>
    <w:qFormat/>
    <w:uiPriority w:val="0"/>
    <w:rPr>
      <w:color w:val="CC0000"/>
    </w:rPr>
  </w:style>
  <w:style w:type="character" w:styleId="37">
    <w:name w:val="HTML Definition"/>
    <w:semiHidden/>
    <w:qFormat/>
    <w:uiPriority w:val="0"/>
    <w:rPr>
      <w:i/>
      <w:iCs/>
    </w:rPr>
  </w:style>
  <w:style w:type="character" w:styleId="38">
    <w:name w:val="HTML Typewriter"/>
    <w:semiHidden/>
    <w:qFormat/>
    <w:uiPriority w:val="0"/>
    <w:rPr>
      <w:rFonts w:ascii="Courier New" w:hAnsi="Courier New"/>
      <w:sz w:val="20"/>
      <w:szCs w:val="20"/>
    </w:rPr>
  </w:style>
  <w:style w:type="character" w:styleId="39">
    <w:name w:val="HTML Acronym"/>
    <w:basedOn w:val="33"/>
    <w:semiHidden/>
    <w:uiPriority w:val="0"/>
  </w:style>
  <w:style w:type="character" w:styleId="40">
    <w:name w:val="HTML Variable"/>
    <w:semiHidden/>
    <w:qFormat/>
    <w:uiPriority w:val="0"/>
    <w:rPr>
      <w:i/>
      <w:iCs/>
    </w:rPr>
  </w:style>
  <w:style w:type="character" w:styleId="41">
    <w:name w:val="Hyperlink"/>
    <w:semiHidden/>
    <w:uiPriority w:val="0"/>
    <w:rPr>
      <w:rFonts w:ascii="Times New Roman" w:hAnsi="Times New Roman" w:eastAsia="宋体"/>
      <w:color w:val="auto"/>
      <w:spacing w:val="0"/>
      <w:w w:val="100"/>
      <w:position w:val="0"/>
      <w:sz w:val="21"/>
      <w:u w:val="none"/>
      <w:vertAlign w:val="baseline"/>
    </w:rPr>
  </w:style>
  <w:style w:type="character" w:styleId="42">
    <w:name w:val="HTML Code"/>
    <w:semiHidden/>
    <w:qFormat/>
    <w:uiPriority w:val="0"/>
    <w:rPr>
      <w:rFonts w:ascii="Courier New" w:hAnsi="Courier New"/>
      <w:sz w:val="20"/>
      <w:szCs w:val="20"/>
    </w:rPr>
  </w:style>
  <w:style w:type="character" w:styleId="43">
    <w:name w:val="HTML Cite"/>
    <w:semiHidden/>
    <w:qFormat/>
    <w:uiPriority w:val="0"/>
    <w:rPr>
      <w:i/>
      <w:iCs/>
    </w:rPr>
  </w:style>
  <w:style w:type="character" w:styleId="44">
    <w:name w:val="footnote reference"/>
    <w:semiHidden/>
    <w:uiPriority w:val="0"/>
    <w:rPr>
      <w:vertAlign w:val="superscript"/>
    </w:rPr>
  </w:style>
  <w:style w:type="character" w:styleId="45">
    <w:name w:val="HTML Keyboard"/>
    <w:semiHidden/>
    <w:qFormat/>
    <w:uiPriority w:val="0"/>
    <w:rPr>
      <w:rFonts w:ascii="Courier New" w:hAnsi="Courier New"/>
      <w:sz w:val="20"/>
      <w:szCs w:val="20"/>
    </w:rPr>
  </w:style>
  <w:style w:type="character" w:styleId="46">
    <w:name w:val="HTML Sample"/>
    <w:semiHidden/>
    <w:qFormat/>
    <w:uiPriority w:val="0"/>
    <w:rPr>
      <w:rFonts w:ascii="Courier New" w:hAnsi="Courier New"/>
    </w:rPr>
  </w:style>
  <w:style w:type="paragraph" w:customStyle="1" w:styleId="47">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
    <w:name w:val="标准书眉_偶数页"/>
    <w:basedOn w:val="51"/>
    <w:next w:val="1"/>
    <w:qFormat/>
    <w:uiPriority w:val="0"/>
    <w:pPr>
      <w:jc w:val="left"/>
    </w:p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参考文献、索引标题"/>
    <w:basedOn w:val="54"/>
    <w:next w:val="1"/>
    <w:uiPriority w:val="0"/>
    <w:pPr>
      <w:numPr>
        <w:numId w:val="0"/>
      </w:numPr>
      <w:spacing w:after="200"/>
    </w:pPr>
    <w:rPr>
      <w:sz w:val="21"/>
    </w:rPr>
  </w:style>
  <w:style w:type="paragraph" w:customStyle="1" w:styleId="56">
    <w:name w:val="段"/>
    <w:link w:val="108"/>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章标题"/>
    <w:next w:val="56"/>
    <w:uiPriority w:val="0"/>
    <w:pPr>
      <w:numPr>
        <w:ilvl w:val="0"/>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58">
    <w:name w:val="一级条标题"/>
    <w:next w:val="56"/>
    <w:uiPriority w:val="99"/>
    <w:pPr>
      <w:numPr>
        <w:ilvl w:val="1"/>
        <w:numId w:val="2"/>
      </w:numPr>
      <w:outlineLvl w:val="2"/>
    </w:pPr>
    <w:rPr>
      <w:rFonts w:ascii="Times New Roman" w:hAnsi="Times New Roman" w:eastAsia="黑体" w:cs="Times New Roman"/>
      <w:sz w:val="21"/>
      <w:lang w:val="en-US" w:eastAsia="zh-CN" w:bidi="ar-SA"/>
    </w:rPr>
  </w:style>
  <w:style w:type="paragraph" w:customStyle="1" w:styleId="59">
    <w:name w:val="二级条标题"/>
    <w:basedOn w:val="58"/>
    <w:next w:val="56"/>
    <w:link w:val="109"/>
    <w:uiPriority w:val="0"/>
    <w:pPr>
      <w:numPr>
        <w:ilvl w:val="2"/>
      </w:numPr>
      <w:outlineLvl w:val="3"/>
    </w:pPr>
  </w:style>
  <w:style w:type="character" w:customStyle="1" w:styleId="60">
    <w:name w:val="发布"/>
    <w:uiPriority w:val="0"/>
    <w:rPr>
      <w:rFonts w:ascii="黑体" w:eastAsia="黑体"/>
      <w:spacing w:val="22"/>
      <w:w w:val="100"/>
      <w:position w:val="3"/>
      <w:sz w:val="28"/>
    </w:rPr>
  </w:style>
  <w:style w:type="paragraph" w:customStyle="1" w:styleId="61">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封面标准号2"/>
    <w:basedOn w:val="63"/>
    <w:uiPriority w:val="0"/>
    <w:pPr>
      <w:framePr w:w="9138" w:h="1244" w:hRule="exact" w:wrap="around" w:vAnchor="page" w:hAnchor="margin" w:y="2908"/>
      <w:adjustRightInd w:val="0"/>
      <w:spacing w:before="357" w:line="280" w:lineRule="exact"/>
    </w:pPr>
  </w:style>
  <w:style w:type="paragraph" w:customStyle="1" w:styleId="65">
    <w:name w:val="封面标准代替信息"/>
    <w:basedOn w:val="64"/>
    <w:uiPriority w:val="0"/>
    <w:pPr>
      <w:spacing w:before="57"/>
    </w:pPr>
    <w:rPr>
      <w:rFonts w:ascii="宋体"/>
      <w:sz w:val="21"/>
    </w:rPr>
  </w:style>
  <w:style w:type="paragraph" w:customStyle="1" w:styleId="6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9">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1">
    <w:name w:val="封面正文"/>
    <w:uiPriority w:val="0"/>
    <w:pPr>
      <w:jc w:val="both"/>
    </w:pPr>
    <w:rPr>
      <w:rFonts w:ascii="Times New Roman" w:hAnsi="Times New Roman" w:eastAsia="宋体" w:cs="Times New Roman"/>
      <w:lang w:val="en-US" w:eastAsia="zh-CN" w:bidi="ar-SA"/>
    </w:rPr>
  </w:style>
  <w:style w:type="paragraph" w:customStyle="1" w:styleId="72">
    <w:name w:val="附录标识"/>
    <w:basedOn w:val="54"/>
    <w:uiPriority w:val="0"/>
    <w:pPr>
      <w:numPr>
        <w:numId w:val="0"/>
      </w:numPr>
      <w:tabs>
        <w:tab w:val="left" w:pos="6405"/>
      </w:tabs>
      <w:spacing w:after="200"/>
    </w:pPr>
    <w:rPr>
      <w:sz w:val="21"/>
    </w:rPr>
  </w:style>
  <w:style w:type="paragraph" w:customStyle="1" w:styleId="73">
    <w:name w:val="附录表标题"/>
    <w:next w:val="56"/>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4">
    <w:name w:val="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附录一级条标题"/>
    <w:basedOn w:val="74"/>
    <w:next w:val="56"/>
    <w:uiPriority w:val="0"/>
    <w:pPr>
      <w:autoSpaceDN w:val="0"/>
      <w:spacing w:beforeLines="0" w:afterLines="0"/>
      <w:outlineLvl w:val="2"/>
    </w:pPr>
  </w:style>
  <w:style w:type="paragraph" w:customStyle="1" w:styleId="76">
    <w:name w:val="附录二级条标题"/>
    <w:basedOn w:val="75"/>
    <w:next w:val="56"/>
    <w:uiPriority w:val="0"/>
    <w:pPr>
      <w:outlineLvl w:val="3"/>
    </w:pPr>
  </w:style>
  <w:style w:type="paragraph" w:customStyle="1" w:styleId="77">
    <w:name w:val="附录三级条标题"/>
    <w:basedOn w:val="76"/>
    <w:next w:val="56"/>
    <w:uiPriority w:val="0"/>
    <w:pPr>
      <w:outlineLvl w:val="4"/>
    </w:pPr>
  </w:style>
  <w:style w:type="paragraph" w:customStyle="1" w:styleId="78">
    <w:name w:val="附录四级条标题"/>
    <w:basedOn w:val="77"/>
    <w:next w:val="56"/>
    <w:uiPriority w:val="0"/>
    <w:pPr>
      <w:outlineLvl w:val="5"/>
    </w:pPr>
  </w:style>
  <w:style w:type="paragraph" w:customStyle="1" w:styleId="79">
    <w:name w:val="附录图标题"/>
    <w:next w:val="56"/>
    <w:uiPriority w:val="0"/>
    <w:pPr>
      <w:numPr>
        <w:ilvl w:val="0"/>
        <w:numId w:val="4"/>
      </w:numPr>
      <w:jc w:val="center"/>
    </w:pPr>
    <w:rPr>
      <w:rFonts w:ascii="黑体" w:hAnsi="Times New Roman" w:eastAsia="黑体" w:cs="Times New Roman"/>
      <w:sz w:val="21"/>
      <w:lang w:val="en-US" w:eastAsia="zh-CN" w:bidi="ar-SA"/>
    </w:rPr>
  </w:style>
  <w:style w:type="paragraph" w:customStyle="1" w:styleId="80">
    <w:name w:val="附录五级条标题"/>
    <w:basedOn w:val="78"/>
    <w:next w:val="56"/>
    <w:uiPriority w:val="0"/>
    <w:pPr>
      <w:outlineLvl w:val="6"/>
    </w:pPr>
  </w:style>
  <w:style w:type="character" w:customStyle="1" w:styleId="81">
    <w:name w:val="个人答复风格"/>
    <w:uiPriority w:val="0"/>
    <w:rPr>
      <w:rFonts w:ascii="Arial" w:hAnsi="Arial" w:eastAsia="宋体" w:cs="Arial"/>
      <w:color w:val="auto"/>
      <w:sz w:val="20"/>
    </w:rPr>
  </w:style>
  <w:style w:type="character" w:customStyle="1" w:styleId="82">
    <w:name w:val="个人撰写风格"/>
    <w:uiPriority w:val="0"/>
    <w:rPr>
      <w:rFonts w:ascii="Arial" w:hAnsi="Arial" w:eastAsia="宋体" w:cs="Arial"/>
      <w:color w:val="auto"/>
      <w:sz w:val="20"/>
    </w:rPr>
  </w:style>
  <w:style w:type="paragraph" w:customStyle="1" w:styleId="83">
    <w:name w:val="列项——（一级）"/>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4">
    <w:name w:val="列项●（二级）"/>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5">
    <w:name w:val="目次、标准名称标题"/>
    <w:basedOn w:val="54"/>
    <w:next w:val="56"/>
    <w:uiPriority w:val="0"/>
    <w:pPr>
      <w:numPr>
        <w:numId w:val="0"/>
      </w:numPr>
      <w:spacing w:line="460" w:lineRule="exact"/>
    </w:pPr>
  </w:style>
  <w:style w:type="paragraph" w:customStyle="1" w:styleId="8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7">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8">
    <w:name w:val="其他发布部门"/>
    <w:basedOn w:val="61"/>
    <w:uiPriority w:val="0"/>
    <w:pPr>
      <w:framePr/>
      <w:spacing w:line="0" w:lineRule="atLeast"/>
    </w:pPr>
    <w:rPr>
      <w:rFonts w:ascii="黑体" w:eastAsia="黑体"/>
      <w:b w:val="0"/>
    </w:rPr>
  </w:style>
  <w:style w:type="paragraph" w:customStyle="1" w:styleId="89">
    <w:name w:val="三级条标题"/>
    <w:basedOn w:val="59"/>
    <w:next w:val="56"/>
    <w:uiPriority w:val="0"/>
    <w:pPr>
      <w:numPr>
        <w:ilvl w:val="3"/>
      </w:numPr>
      <w:outlineLvl w:val="4"/>
    </w:pPr>
  </w:style>
  <w:style w:type="paragraph" w:customStyle="1" w:styleId="90">
    <w:name w:val="实施日期"/>
    <w:basedOn w:val="62"/>
    <w:uiPriority w:val="0"/>
    <w:pPr>
      <w:framePr w:hSpace="0" w:xAlign="right"/>
      <w:jc w:val="right"/>
    </w:pPr>
  </w:style>
  <w:style w:type="paragraph" w:customStyle="1" w:styleId="91">
    <w:name w:val="示例"/>
    <w:next w:val="56"/>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2">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四级条标题"/>
    <w:basedOn w:val="89"/>
    <w:next w:val="56"/>
    <w:uiPriority w:val="0"/>
    <w:pPr>
      <w:numPr>
        <w:ilvl w:val="4"/>
      </w:numPr>
      <w:outlineLvl w:val="5"/>
    </w:pPr>
  </w:style>
  <w:style w:type="paragraph" w:customStyle="1" w:styleId="94">
    <w:name w:val="条文脚注"/>
    <w:basedOn w:val="26"/>
    <w:uiPriority w:val="0"/>
    <w:pPr>
      <w:ind w:left="780" w:leftChars="200" w:hanging="360" w:hangingChars="200"/>
      <w:jc w:val="both"/>
    </w:pPr>
    <w:rPr>
      <w:rFonts w:ascii="宋体"/>
    </w:rPr>
  </w:style>
  <w:style w:type="paragraph" w:customStyle="1" w:styleId="95">
    <w:name w:val="图表脚注"/>
    <w:next w:val="56"/>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五级条标题"/>
    <w:basedOn w:val="93"/>
    <w:next w:val="56"/>
    <w:uiPriority w:val="0"/>
    <w:pPr>
      <w:numPr>
        <w:ilvl w:val="5"/>
      </w:numPr>
      <w:outlineLvl w:val="6"/>
    </w:pPr>
  </w:style>
  <w:style w:type="paragraph" w:customStyle="1" w:styleId="98">
    <w:name w:val="正文表标题"/>
    <w:next w:val="56"/>
    <w:uiPriority w:val="0"/>
    <w:pPr>
      <w:ind w:left="4515"/>
      <w:jc w:val="center"/>
    </w:pPr>
    <w:rPr>
      <w:rFonts w:ascii="黑体" w:hAnsi="Times New Roman" w:eastAsia="黑体" w:cs="Times New Roman"/>
      <w:sz w:val="21"/>
      <w:lang w:val="en-US" w:eastAsia="zh-CN" w:bidi="ar-SA"/>
    </w:rPr>
  </w:style>
  <w:style w:type="paragraph" w:customStyle="1" w:styleId="99">
    <w:name w:val="正文图标题"/>
    <w:next w:val="56"/>
    <w:uiPriority w:val="0"/>
    <w:pPr>
      <w:jc w:val="center"/>
    </w:pPr>
    <w:rPr>
      <w:rFonts w:ascii="黑体" w:hAnsi="Times New Roman" w:eastAsia="黑体" w:cs="Times New Roman"/>
      <w:sz w:val="21"/>
      <w:lang w:val="en-US" w:eastAsia="zh-CN" w:bidi="ar-SA"/>
    </w:rPr>
  </w:style>
  <w:style w:type="paragraph" w:customStyle="1" w:styleId="100">
    <w:name w:val="注："/>
    <w:next w:val="56"/>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01">
    <w:name w:val="注×："/>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02">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列项◆（三级）"/>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4">
    <w:name w:val="编号列项（三级）"/>
    <w:uiPriority w:val="0"/>
    <w:pPr>
      <w:ind w:left="800" w:leftChars="600" w:hanging="200" w:hangingChars="200"/>
    </w:pPr>
    <w:rPr>
      <w:rFonts w:ascii="宋体" w:hAnsi="Times New Roman" w:eastAsia="宋体" w:cs="Times New Roman"/>
      <w:sz w:val="21"/>
      <w:lang w:val="en-US" w:eastAsia="zh-CN" w:bidi="ar-SA"/>
    </w:rPr>
  </w:style>
  <w:style w:type="character" w:customStyle="1" w:styleId="105">
    <w:name w:val="正文文本缩进 2 Char"/>
    <w:link w:val="22"/>
    <w:semiHidden/>
    <w:uiPriority w:val="99"/>
    <w:rPr>
      <w:kern w:val="2"/>
      <w:sz w:val="21"/>
      <w:szCs w:val="24"/>
    </w:rPr>
  </w:style>
  <w:style w:type="paragraph" w:customStyle="1" w:styleId="106">
    <w:name w:val="Char"/>
    <w:basedOn w:val="1"/>
    <w:uiPriority w:val="0"/>
    <w:rPr>
      <w:rFonts w:ascii="仿宋_GB2312" w:eastAsia="仿宋_GB2312"/>
      <w:b/>
      <w:sz w:val="32"/>
      <w:szCs w:val="32"/>
    </w:rPr>
  </w:style>
  <w:style w:type="paragraph" w:customStyle="1" w:styleId="107">
    <w:name w:val="章"/>
    <w:basedOn w:val="4"/>
    <w:uiPriority w:val="0"/>
    <w:rPr>
      <w:rFonts w:eastAsia="黑体"/>
      <w:b w:val="0"/>
      <w:sz w:val="21"/>
    </w:rPr>
  </w:style>
  <w:style w:type="character" w:customStyle="1" w:styleId="108">
    <w:name w:val="段 Char"/>
    <w:link w:val="56"/>
    <w:uiPriority w:val="99"/>
    <w:rPr>
      <w:rFonts w:ascii="宋体"/>
      <w:sz w:val="21"/>
      <w:lang w:val="en-US" w:eastAsia="zh-CN" w:bidi="ar-SA"/>
    </w:rPr>
  </w:style>
  <w:style w:type="character" w:customStyle="1" w:styleId="109">
    <w:name w:val="二级条标题 Char"/>
    <w:link w:val="59"/>
    <w:uiPriority w:val="0"/>
    <w:rPr>
      <w:rFonts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1"/>
    <customShpInfo spid="_x0000_s1038"/>
    <customShpInfo spid="_x0000_s1037"/>
    <customShpInfo spid="_x0000_s1035"/>
    <customShpInfo spid="_x0000_s1033"/>
    <customShpInfo spid="_x0000_s1032"/>
    <customShpInfo spid="_x0000_s1031"/>
    <customShpInfo spid="_x0000_s1030"/>
    <customShpInfo spid="_x0000_s1039"/>
    <customShpInfo spid="_x0000_s1029"/>
    <customShpInfo spid="_x0000_s1028"/>
    <customShpInfo spid="_x0000_s1040"/>
    <customShpInfo spid="_x0000_s1058"/>
    <customShpInfo spid="_x0000_s1059"/>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6</Pages>
  <Words>363</Words>
  <Characters>2071</Characters>
  <Lines>17</Lines>
  <Paragraphs>4</Paragraphs>
  <TotalTime>0</TotalTime>
  <ScaleCrop>false</ScaleCrop>
  <LinksUpToDate>false</LinksUpToDate>
  <CharactersWithSpaces>2430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2019-09-05T09:23:00Z</dcterms:created>
  <dc:creator>zzq</dc:creator>
  <cp:lastModifiedBy>秉成知识产权</cp:lastModifiedBy>
  <cp:lastPrinted>2013-05-23T03:38:00Z</cp:lastPrinted>
  <dcterms:modified xsi:type="dcterms:W3CDTF">2019-11-29T03:16:50Z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2052-11.1.0.9208</vt:lpwstr>
  </property>
</Properties>
</file>