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6101" w:h="1389" w:hRule="exact" w:hSpace="181" w:vSpace="181" w:wrap="around" w:vAnchor="page" w:hAnchor="page" w:x="4778" w:y="880" w:anchorLock="1"/>
        <w:widowControl w:val="0"/>
        <w:spacing w:line="240" w:lineRule="auto"/>
        <w:rPr>
          <w:rFonts w:ascii="黑体" w:hAnsi="黑体" w:eastAsia="黑体"/>
          <w:color w:val="auto"/>
          <w:highlight w:val="none"/>
          <w:shd w:val="clear" w:color="auto" w:fill="auto"/>
        </w:rPr>
      </w:pPr>
      <w:r>
        <w:rPr>
          <w:rFonts w:ascii="黑体" w:hAnsi="黑体" w:eastAsia="黑体"/>
          <w:b w:val="0"/>
          <w:bCs/>
          <w:color w:val="auto"/>
          <w:w w:val="100"/>
          <w:kern w:val="21"/>
          <w:highlight w:val="none"/>
          <w:shd w:val="clear" w:color="auto" w:fill="auto"/>
        </w:rPr>
        <w:t>Q/</w:t>
      </w:r>
      <w:r>
        <w:rPr>
          <w:rFonts w:hint="eastAsia" w:ascii="黑体" w:hAnsi="黑体" w:eastAsia="黑体"/>
          <w:b w:val="0"/>
          <w:bCs/>
          <w:color w:val="auto"/>
          <w:w w:val="100"/>
          <w:kern w:val="21"/>
          <w:highlight w:val="none"/>
          <w:shd w:val="clear" w:color="auto" w:fill="auto"/>
        </w:rPr>
        <w:t>YX</w:t>
      </w:r>
    </w:p>
    <w:p>
      <w:pPr>
        <w:pStyle w:val="11"/>
        <w:framePr w:hSpace="181" w:vSpace="181" w:wrap="around" w:vAnchor="page" w:hAnchor="page" w:x="1419" w:y="2286" w:anchorLock="1"/>
        <w:widowControl w:val="0"/>
        <w:spacing w:beforeLines="50" w:afterLines="50" w:line="240" w:lineRule="auto"/>
        <w:rPr>
          <w:rFonts w:ascii="Times New Roman" w:hAnsi="Times New Roman"/>
          <w:color w:val="auto"/>
          <w:spacing w:val="0"/>
          <w:kern w:val="21"/>
          <w:highlight w:val="none"/>
          <w:shd w:val="clear" w:color="auto" w:fill="auto"/>
        </w:rPr>
      </w:pPr>
      <w:bookmarkStart w:id="0" w:name="OLE_LINK11"/>
      <w:bookmarkStart w:id="1" w:name="OLE_LINK12"/>
      <w:bookmarkStart w:id="2" w:name="OLE_LINK10"/>
      <w:r>
        <w:rPr>
          <w:rFonts w:ascii="Times New Roman" w:hAnsi="Times New Roman"/>
          <w:color w:val="auto"/>
          <w:spacing w:val="0"/>
          <w:kern w:val="21"/>
          <w:sz w:val="52"/>
          <w:highlight w:val="none"/>
          <w:shd w:val="clear" w:color="auto" w:fill="auto"/>
        </w:rPr>
        <w:t>贵州省食品安全企业标准</w:t>
      </w:r>
      <w:bookmarkEnd w:id="0"/>
    </w:p>
    <w:bookmarkEnd w:id="1"/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  <w:highlight w:val="none"/>
          <w:shd w:val="clear" w:color="auto" w:fill="auto"/>
        </w:rPr>
      </w:pPr>
    </w:p>
    <w:p>
      <w:pPr>
        <w:pStyle w:val="14"/>
        <w:framePr w:w="9140" w:h="1242" w:hRule="exact" w:hSpace="284" w:wrap="around" w:vAnchor="page" w:hAnchor="page" w:x="1645" w:y="2910" w:anchorLock="1"/>
        <w:spacing w:before="0" w:line="240" w:lineRule="auto"/>
        <w:rPr>
          <w:rFonts w:hAnsi="黑体"/>
          <w:color w:val="auto"/>
          <w:highlight w:val="none"/>
          <w:shd w:val="clear" w:color="auto" w:fill="auto"/>
        </w:rPr>
      </w:pPr>
      <w:r>
        <w:rPr>
          <w:rFonts w:hAnsi="黑体"/>
          <w:color w:val="auto"/>
          <w:highlight w:val="none"/>
          <w:shd w:val="clear" w:color="auto" w:fill="auto"/>
        </w:rPr>
        <w:pict>
          <v:line id="直线 7" o:spid="_x0000_s1026" o:spt="20" style="position:absolute;left:0pt;margin-left:-9.5pt;margin-top:28pt;height:0.05pt;width:4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Ansi="黑体"/>
          <w:color w:val="auto"/>
          <w:highlight w:val="none"/>
          <w:shd w:val="clear" w:color="auto" w:fill="auto"/>
        </w:rPr>
        <w:t>Q/</w:t>
      </w:r>
      <w:r>
        <w:rPr>
          <w:rFonts w:hint="eastAsia" w:hAnsi="黑体"/>
          <w:color w:val="auto"/>
          <w:highlight w:val="none"/>
          <w:shd w:val="clear" w:color="auto" w:fill="auto"/>
        </w:rPr>
        <w:t xml:space="preserve">YX </w:t>
      </w:r>
      <w:r>
        <w:rPr>
          <w:rFonts w:hAnsi="黑体"/>
          <w:color w:val="auto"/>
          <w:highlight w:val="none"/>
          <w:shd w:val="clear" w:color="auto" w:fill="auto"/>
        </w:rPr>
        <w:t>000</w:t>
      </w:r>
      <w:r>
        <w:rPr>
          <w:rFonts w:hint="eastAsia" w:hAnsi="黑体"/>
          <w:color w:val="auto"/>
          <w:highlight w:val="none"/>
          <w:shd w:val="clear" w:color="auto" w:fill="auto"/>
        </w:rPr>
        <w:t>1</w:t>
      </w:r>
      <w:r>
        <w:rPr>
          <w:rFonts w:hAnsi="黑体"/>
          <w:color w:val="auto"/>
          <w:highlight w:val="none"/>
          <w:shd w:val="clear" w:color="auto" w:fill="auto"/>
        </w:rPr>
        <w:t>S—201</w:t>
      </w:r>
      <w:r>
        <w:rPr>
          <w:rFonts w:hint="eastAsia" w:hAnsi="黑体"/>
          <w:color w:val="auto"/>
          <w:highlight w:val="none"/>
          <w:shd w:val="clear" w:color="auto" w:fill="auto"/>
        </w:rPr>
        <w:t>9</w:t>
      </w:r>
    </w:p>
    <w:p>
      <w:pPr>
        <w:pStyle w:val="14"/>
        <w:framePr w:w="9140" w:h="1242" w:hRule="exact" w:hSpace="284" w:wrap="around" w:vAnchor="page" w:hAnchor="page" w:x="1645" w:y="2910" w:anchorLock="1"/>
        <w:rPr>
          <w:rFonts w:ascii="Times New Roman"/>
          <w:color w:val="auto"/>
          <w:highlight w:val="none"/>
          <w:shd w:val="clear" w:color="auto" w:fill="auto"/>
        </w:rPr>
      </w:pPr>
    </w:p>
    <w:p>
      <w:pPr>
        <w:pStyle w:val="12"/>
        <w:framePr w:w="9639" w:h="6917" w:hRule="exact" w:wrap="around" w:vAnchor="page" w:hAnchor="page" w:xAlign="center" w:y="6408" w:anchorLock="1"/>
        <w:rPr>
          <w:rFonts w:ascii="Times New Roman"/>
          <w:color w:val="auto"/>
          <w:highlight w:val="none"/>
          <w:shd w:val="clear" w:color="auto" w:fill="auto"/>
        </w:rPr>
      </w:pPr>
      <w:r>
        <w:rPr>
          <w:rFonts w:hint="eastAsia" w:ascii="Times New Roman"/>
          <w:color w:val="auto"/>
          <w:highlight w:val="none"/>
          <w:shd w:val="clear" w:color="auto" w:fill="auto"/>
        </w:rPr>
        <w:t>花色挂面</w:t>
      </w:r>
    </w:p>
    <w:bookmarkEnd w:id="2"/>
    <w:p>
      <w:pPr>
        <w:ind w:left="-359" w:leftChars="-171"/>
        <w:jc w:val="distribute"/>
        <w:rPr>
          <w:color w:val="auto"/>
          <w:sz w:val="44"/>
          <w:szCs w:val="44"/>
          <w:highlight w:val="none"/>
          <w:shd w:val="clear" w:color="auto" w:fill="auto"/>
        </w:rPr>
      </w:pPr>
      <w:bookmarkStart w:id="3" w:name="fm"/>
    </w:p>
    <w:p>
      <w:pPr>
        <w:rPr>
          <w:color w:val="auto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</w:p>
    <w:p>
      <w:pPr>
        <w:spacing w:line="440" w:lineRule="exact"/>
        <w:rPr>
          <w:rFonts w:eastAsia="方正黑体简体"/>
          <w:b/>
          <w:color w:val="auto"/>
          <w:szCs w:val="21"/>
          <w:highlight w:val="none"/>
          <w:shd w:val="clear" w:color="auto" w:fill="auto"/>
        </w:rPr>
      </w:pPr>
    </w:p>
    <w:p>
      <w:pPr>
        <w:spacing w:line="440" w:lineRule="exact"/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</w:pP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201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11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05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发布                                   201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9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–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12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-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05</w:t>
      </w:r>
      <w:r>
        <w:rPr>
          <w:rFonts w:ascii="黑体"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实施</w:t>
      </w:r>
    </w:p>
    <w:p>
      <w:pPr>
        <w:spacing w:line="180" w:lineRule="exact"/>
        <w:rPr>
          <w:rFonts w:eastAsia="方正黑体简体"/>
          <w:b/>
          <w:color w:val="auto"/>
          <w:sz w:val="24"/>
          <w:highlight w:val="none"/>
          <w:u w:val="single"/>
          <w:shd w:val="clear" w:color="auto" w:fill="auto"/>
        </w:rPr>
      </w:pPr>
      <w:bookmarkStart w:id="4" w:name="OLE_LINK9"/>
      <w:bookmarkStart w:id="5" w:name="OLE_LINK16"/>
      <w:r>
        <w:rPr>
          <w:color w:val="auto"/>
          <w:sz w:val="24"/>
          <w:highlight w:val="none"/>
          <w:shd w:val="clear" w:color="auto" w:fill="auto"/>
        </w:rPr>
        <w:pict>
          <v:line id="直线 8" o:spid="_x0000_s1027" o:spt="20" style="position:absolute;left:0pt;margin-left:1.05pt;margin-top:3.55pt;height:0.05pt;width:455.2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bookmarkEnd w:id="4"/>
    </w:p>
    <w:bookmarkEnd w:id="5"/>
    <w:p>
      <w:pPr>
        <w:spacing w:line="700" w:lineRule="exact"/>
        <w:jc w:val="center"/>
        <w:rPr>
          <w:color w:val="auto"/>
          <w:highlight w:val="none"/>
          <w:shd w:val="clear" w:color="auto" w:fill="auto"/>
        </w:rPr>
      </w:pPr>
      <w:bookmarkStart w:id="6" w:name="OLE_LINK15"/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auto"/>
        </w:rPr>
        <w:t xml:space="preserve">毕节一心食品有限公司 </w:t>
      </w:r>
      <w:r>
        <w:rPr>
          <w:rFonts w:hAnsi="黑体" w:eastAsia="黑体"/>
          <w:bCs/>
          <w:color w:val="auto"/>
          <w:sz w:val="28"/>
          <w:szCs w:val="28"/>
          <w:highlight w:val="none"/>
          <w:shd w:val="clear" w:color="auto" w:fill="auto"/>
        </w:rPr>
        <w:t>发布</w:t>
      </w:r>
      <w:bookmarkEnd w:id="6"/>
    </w:p>
    <w:bookmarkEnd w:id="3"/>
    <w:p>
      <w:pPr>
        <w:spacing w:beforeLines="150" w:afterLines="150"/>
        <w:jc w:val="center"/>
        <w:rPr>
          <w:rFonts w:eastAsia="黑体"/>
          <w:color w:val="auto"/>
          <w:spacing w:val="60"/>
          <w:sz w:val="28"/>
          <w:szCs w:val="28"/>
          <w:highlight w:val="none"/>
          <w:shd w:val="clear" w:color="auto" w:fill="auto"/>
        </w:rPr>
      </w:pPr>
      <w:r>
        <w:rPr>
          <w:rFonts w:eastAsia="黑体"/>
          <w:color w:val="auto"/>
          <w:spacing w:val="60"/>
          <w:sz w:val="28"/>
          <w:szCs w:val="28"/>
          <w:highlight w:val="none"/>
          <w:shd w:val="clear" w:color="auto" w:fill="auto"/>
        </w:rPr>
        <w:t>前  言</w:t>
      </w:r>
    </w:p>
    <w:p>
      <w:pPr>
        <w:ind w:firstLine="420" w:firstLineChars="200"/>
        <w:rPr>
          <w:color w:val="auto"/>
          <w:szCs w:val="21"/>
          <w:highlight w:val="none"/>
          <w:shd w:val="clear" w:color="auto" w:fill="auto"/>
        </w:rPr>
      </w:pPr>
      <w:r>
        <w:rPr>
          <w:rFonts w:hAnsi="宋体"/>
          <w:color w:val="auto"/>
          <w:szCs w:val="21"/>
          <w:highlight w:val="none"/>
          <w:shd w:val="clear" w:color="auto" w:fill="auto"/>
        </w:rPr>
        <w:t>本标准根据</w:t>
      </w:r>
      <w:r>
        <w:rPr>
          <w:color w:val="auto"/>
          <w:szCs w:val="21"/>
          <w:highlight w:val="none"/>
          <w:shd w:val="clear" w:color="auto" w:fill="auto"/>
        </w:rPr>
        <w:t>GB/T1.1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《标准化工作导则第一部分：标准的结构和编写》进行编写；</w:t>
      </w:r>
    </w:p>
    <w:p>
      <w:pPr>
        <w:ind w:firstLine="420" w:firstLineChars="200"/>
        <w:rPr>
          <w:color w:val="auto"/>
          <w:szCs w:val="21"/>
          <w:highlight w:val="none"/>
          <w:shd w:val="clear" w:color="auto" w:fill="auto"/>
        </w:rPr>
      </w:pPr>
      <w:r>
        <w:rPr>
          <w:rFonts w:hAnsi="宋体"/>
          <w:color w:val="auto"/>
          <w:szCs w:val="21"/>
          <w:highlight w:val="none"/>
          <w:shd w:val="clear" w:color="auto" w:fill="auto"/>
        </w:rPr>
        <w:t>本标准由</w:t>
      </w:r>
      <w:bookmarkStart w:id="7" w:name="OLE_LINK2"/>
      <w:r>
        <w:rPr>
          <w:rFonts w:hint="eastAsia"/>
          <w:color w:val="auto"/>
          <w:highlight w:val="none"/>
          <w:shd w:val="clear" w:color="auto" w:fill="auto"/>
        </w:rPr>
        <w:t>毕节一心食品有限公司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提出</w:t>
      </w:r>
      <w:bookmarkEnd w:id="7"/>
      <w:r>
        <w:rPr>
          <w:rFonts w:hAnsi="宋体"/>
          <w:color w:val="auto"/>
          <w:szCs w:val="21"/>
          <w:highlight w:val="none"/>
          <w:shd w:val="clear" w:color="auto" w:fill="auto"/>
        </w:rPr>
        <w:t>；</w:t>
      </w:r>
    </w:p>
    <w:p>
      <w:pPr>
        <w:ind w:firstLine="420" w:firstLineChars="200"/>
        <w:rPr>
          <w:color w:val="auto"/>
          <w:szCs w:val="21"/>
          <w:highlight w:val="none"/>
          <w:shd w:val="clear" w:color="auto" w:fill="auto"/>
        </w:rPr>
      </w:pPr>
      <w:r>
        <w:rPr>
          <w:rFonts w:hAnsi="宋体"/>
          <w:color w:val="auto"/>
          <w:szCs w:val="21"/>
          <w:highlight w:val="none"/>
          <w:shd w:val="clear" w:color="auto" w:fill="auto"/>
        </w:rPr>
        <w:t>本标准起草单位：</w:t>
      </w:r>
      <w:r>
        <w:rPr>
          <w:rFonts w:hint="eastAsia"/>
          <w:color w:val="auto"/>
          <w:highlight w:val="none"/>
          <w:shd w:val="clear" w:color="auto" w:fill="auto"/>
        </w:rPr>
        <w:t>毕节一心食品有限公司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；</w:t>
      </w:r>
    </w:p>
    <w:p>
      <w:pPr>
        <w:ind w:firstLine="420" w:firstLineChars="200"/>
        <w:rPr>
          <w:color w:val="auto"/>
          <w:szCs w:val="21"/>
          <w:highlight w:val="none"/>
          <w:shd w:val="clear" w:color="auto" w:fill="auto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1417" w:footer="1134" w:gutter="0"/>
          <w:pgNumType w:fmt="upperRoman" w:start="1"/>
          <w:cols w:space="720" w:num="1"/>
          <w:formProt w:val="0"/>
          <w:docGrid w:type="linesAndChars" w:linePitch="312" w:charSpace="0"/>
        </w:sectPr>
      </w:pPr>
      <w:r>
        <w:rPr>
          <w:rFonts w:hAnsi="宋体"/>
          <w:color w:val="auto"/>
          <w:szCs w:val="21"/>
          <w:highlight w:val="none"/>
          <w:shd w:val="clear" w:color="auto" w:fill="auto"/>
        </w:rPr>
        <w:t>本标准主要起草人：</w:t>
      </w:r>
      <w:r>
        <w:rPr>
          <w:rFonts w:hint="eastAsia" w:hAnsi="宋体"/>
          <w:color w:val="auto"/>
          <w:szCs w:val="21"/>
          <w:highlight w:val="none"/>
          <w:shd w:val="clear" w:color="auto" w:fill="auto"/>
        </w:rPr>
        <w:t>黄义、主芸、彭尚涛、高鹏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。</w:t>
      </w:r>
    </w:p>
    <w:p>
      <w:pPr>
        <w:spacing w:beforeLines="150" w:afterLines="150"/>
        <w:jc w:val="center"/>
        <w:rPr>
          <w:rFonts w:eastAsia="黑体"/>
          <w:color w:val="auto"/>
          <w:sz w:val="10"/>
          <w:szCs w:val="10"/>
          <w:highlight w:val="none"/>
          <w:shd w:val="clear" w:color="auto" w:fill="auto"/>
        </w:rPr>
      </w:pPr>
      <w:r>
        <w:rPr>
          <w:rFonts w:hint="eastAsia" w:eastAsia="黑体"/>
          <w:color w:val="auto"/>
          <w:sz w:val="32"/>
          <w:szCs w:val="32"/>
          <w:highlight w:val="none"/>
          <w:shd w:val="clear" w:color="auto" w:fill="auto"/>
        </w:rPr>
        <w:t>花色挂面</w:t>
      </w:r>
    </w:p>
    <w:p>
      <w:pPr>
        <w:spacing w:beforeLines="100" w:afterLines="100"/>
        <w:ind w:firstLine="105" w:firstLineChars="50"/>
        <w:rPr>
          <w:rFonts w:ascii="黑体" w:hAnsi="黑体" w:eastAsia="黑体"/>
          <w:color w:val="auto"/>
          <w:szCs w:val="21"/>
          <w:highlight w:val="none"/>
          <w:shd w:val="clear" w:color="auto" w:fill="auto"/>
        </w:rPr>
      </w:pPr>
      <w:r>
        <w:rPr>
          <w:rFonts w:ascii="黑体" w:hAnsi="黑体" w:eastAsia="黑体"/>
          <w:color w:val="auto"/>
          <w:szCs w:val="21"/>
          <w:highlight w:val="none"/>
          <w:shd w:val="clear" w:color="auto" w:fill="auto"/>
        </w:rPr>
        <w:t>1  范围</w:t>
      </w:r>
      <w:bookmarkStart w:id="17" w:name="_GoBack"/>
      <w:bookmarkEnd w:id="17"/>
    </w:p>
    <w:p>
      <w:pPr>
        <w:ind w:firstLine="420" w:firstLineChars="200"/>
        <w:rPr>
          <w:color w:val="auto"/>
          <w:szCs w:val="21"/>
          <w:highlight w:val="none"/>
          <w:shd w:val="clear" w:color="auto" w:fill="auto"/>
        </w:rPr>
      </w:pPr>
      <w:bookmarkStart w:id="8" w:name="OLE_LINK5"/>
      <w:r>
        <w:rPr>
          <w:rFonts w:hAnsi="宋体"/>
          <w:color w:val="auto"/>
          <w:szCs w:val="21"/>
          <w:highlight w:val="none"/>
          <w:shd w:val="clear" w:color="auto" w:fill="auto"/>
        </w:rPr>
        <w:t>本标准规定了</w:t>
      </w:r>
      <w:r>
        <w:rPr>
          <w:rFonts w:hint="eastAsia" w:asciiTheme="minorEastAsia" w:hAnsiTheme="minorEastAsia" w:eastAsiaTheme="minorEastAsia"/>
          <w:color w:val="auto"/>
          <w:highlight w:val="none"/>
          <w:shd w:val="clear" w:color="auto" w:fill="auto"/>
        </w:rPr>
        <w:t>花色挂面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的技术要求</w:t>
      </w:r>
      <w:r>
        <w:rPr>
          <w:rFonts w:hint="eastAsia" w:hAnsi="宋体"/>
          <w:color w:val="auto"/>
          <w:szCs w:val="21"/>
          <w:highlight w:val="none"/>
          <w:shd w:val="clear" w:color="auto" w:fill="auto"/>
        </w:rPr>
        <w:t>（含检验方法）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、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检验规则</w:t>
      </w:r>
      <w:r>
        <w:rPr>
          <w:rFonts w:hint="eastAsia" w:hAnsi="宋体"/>
          <w:color w:val="auto"/>
          <w:szCs w:val="21"/>
          <w:highlight w:val="none"/>
          <w:shd w:val="clear" w:color="auto" w:fill="auto"/>
        </w:rPr>
        <w:t>及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标志、标签</w:t>
      </w:r>
      <w:r>
        <w:rPr>
          <w:rFonts w:hint="eastAsia" w:hAnsi="宋体"/>
          <w:color w:val="auto"/>
          <w:szCs w:val="21"/>
          <w:highlight w:val="none"/>
          <w:shd w:val="clear" w:color="auto" w:fill="auto"/>
        </w:rPr>
        <w:t>、</w:t>
      </w:r>
      <w:r>
        <w:rPr>
          <w:rFonts w:hAnsi="宋体"/>
          <w:color w:val="auto"/>
          <w:szCs w:val="21"/>
          <w:highlight w:val="none"/>
          <w:shd w:val="clear" w:color="auto" w:fill="auto"/>
        </w:rPr>
        <w:t>包装、运输和贮存。</w:t>
      </w:r>
    </w:p>
    <w:p>
      <w:pPr>
        <w:pStyle w:val="24"/>
        <w:tabs>
          <w:tab w:val="clear" w:pos="1440"/>
        </w:tabs>
        <w:spacing w:beforeLines="0" w:afterLines="0" w:line="340" w:lineRule="exact"/>
        <w:ind w:left="0" w:firstLine="420" w:firstLineChars="200"/>
        <w:rPr>
          <w:rFonts w:asciiTheme="minorEastAsia" w:hAnsiTheme="minorEastAsia" w:eastAsiaTheme="minorEastAsia"/>
          <w:color w:val="auto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/>
          <w:color w:val="auto"/>
          <w:highlight w:val="none"/>
          <w:shd w:val="clear" w:color="auto" w:fill="auto"/>
        </w:rPr>
        <w:t>本标准适用于本公司以小麦粉为主要原料、添加一种或多种蔬菜或蔬菜制品、肉制品、谷物粉类制品等辅料和食品添加剂碳酸钠经和面、成型、干燥、切断、包装制成的具有特殊色、香、味的花色挂面。</w:t>
      </w:r>
    </w:p>
    <w:p>
      <w:pPr>
        <w:pStyle w:val="24"/>
        <w:numPr>
          <w:ilvl w:val="0"/>
          <w:numId w:val="1"/>
        </w:numPr>
        <w:spacing w:beforeLines="100" w:afterLines="100"/>
        <w:ind w:left="357" w:hanging="357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规范性引用文件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 xml:space="preserve">    下列文件对于本文件的应用是必不可少的。凡是注日期的引用文件，仅注日期的版本适用于本文件。凡是不注日期的引文件，其最新版本（包括所有的修改单）适用于本文件。</w:t>
      </w:r>
    </w:p>
    <w:p>
      <w:pPr>
        <w:pStyle w:val="19"/>
        <w:ind w:left="0" w:firstLine="405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GB/T 191     包装储运图示标志</w:t>
      </w:r>
    </w:p>
    <w:p>
      <w:pPr>
        <w:pStyle w:val="19"/>
        <w:ind w:left="0" w:firstLine="405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GB/T 1355    小麦粉</w:t>
      </w:r>
    </w:p>
    <w:p>
      <w:pPr>
        <w:pStyle w:val="19"/>
        <w:ind w:left="0" w:firstLine="405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1886.1    食品安全国家标准 食品添加剂 碳酸钠</w:t>
      </w:r>
    </w:p>
    <w:p>
      <w:pPr>
        <w:pStyle w:val="19"/>
        <w:ind w:left="0" w:firstLine="405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2749      食品安全国家标准 蛋与蛋制品</w:t>
      </w:r>
    </w:p>
    <w:p>
      <w:pPr>
        <w:pStyle w:val="19"/>
        <w:ind w:left="0" w:firstLine="0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 xml:space="preserve">    GB 2760      食品安全国家标准 食品添加剂使用卫生标准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2761      食品安全国家标准 食品中真菌毒素限量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2762      食品安全国家标准 食品中污染物限量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5009.3    食品安全国家标准 食品中水分的测定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5009.11   食品安全国家标准 食品中总砷及无机砷的测定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5009.12   食品安全国家标准 食品中铅的测定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5009.22   食品安全国家标准 食品中黄曲霉毒素B族和G族的测定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5009.44   食品安全国家标准 食品中氯化物的测定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5009.239  食品安全国家标准 食品酸度的测定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GB/T 5461    食用盐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5749      生活饮用水卫生标准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7718      食品安全国家标准 预包装食品标签通则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GB/T 10462   绿豆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GB/T 10463   玉米粉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14880     食品安全国家标准 食品营养强化剂使用标准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14881     食品安全国家标准 食品生产通用卫生规范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GB 28050     食品安全国家标准预包装食品营养标签通则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NY/T 493     胡萝卜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NY/T 894     绿色食品 荞麦及荞麦粉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NY/T 964     菠菜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LS/T 3212    挂面</w:t>
      </w:r>
    </w:p>
    <w:p>
      <w:pPr>
        <w:snapToGrid w:val="0"/>
        <w:ind w:firstLine="419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GH/T 1013    香菇</w:t>
      </w:r>
    </w:p>
    <w:p>
      <w:pPr>
        <w:pStyle w:val="19"/>
        <w:ind w:left="0" w:firstLine="0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 xml:space="preserve">    JJF 1070     定量包装商品净含量计量检验规则</w:t>
      </w:r>
    </w:p>
    <w:p>
      <w:pPr>
        <w:pStyle w:val="19"/>
        <w:spacing w:line="340" w:lineRule="exact"/>
        <w:ind w:left="0" w:firstLine="0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 xml:space="preserve">    原国家质量监督检验检疫总局令[2005]第75号《定量包装商品计量监督管理办法》</w:t>
      </w:r>
    </w:p>
    <w:p>
      <w:pPr>
        <w:pStyle w:val="24"/>
        <w:numPr>
          <w:ilvl w:val="0"/>
          <w:numId w:val="1"/>
        </w:numPr>
        <w:spacing w:beforeLines="100" w:afterLines="100"/>
        <w:rPr>
          <w:color w:val="auto"/>
          <w:kern w:val="2"/>
          <w:highlight w:val="none"/>
          <w:shd w:val="clear" w:color="auto" w:fill="auto"/>
        </w:rPr>
      </w:pPr>
      <w:r>
        <w:rPr>
          <w:rFonts w:hint="eastAsia"/>
          <w:color w:val="auto"/>
          <w:kern w:val="2"/>
          <w:highlight w:val="none"/>
          <w:shd w:val="clear" w:color="auto" w:fill="auto"/>
        </w:rPr>
        <w:t>要求</w:t>
      </w:r>
    </w:p>
    <w:p>
      <w:pPr>
        <w:pStyle w:val="19"/>
        <w:spacing w:beforeLines="50" w:afterLines="50"/>
        <w:ind w:left="0" w:firstLine="0"/>
        <w:rPr>
          <w:rFonts w:ascii="黑体" w:hAnsi="黑体" w:eastAsia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auto"/>
          <w:highlight w:val="none"/>
          <w:shd w:val="clear" w:color="auto" w:fill="auto"/>
        </w:rPr>
        <w:t xml:space="preserve">3.1  </w:t>
      </w:r>
      <w:r>
        <w:rPr>
          <w:rFonts w:hint="eastAsia" w:ascii="黑体" w:hAnsi="黑体" w:eastAsia="黑体"/>
          <w:color w:val="auto"/>
          <w:szCs w:val="20"/>
          <w:highlight w:val="none"/>
          <w:shd w:val="clear" w:color="auto" w:fill="auto"/>
        </w:rPr>
        <w:t>原辅料要求</w:t>
      </w:r>
    </w:p>
    <w:p>
      <w:pPr>
        <w:pStyle w:val="26"/>
        <w:numPr>
          <w:ilvl w:val="2"/>
          <w:numId w:val="1"/>
        </w:numPr>
        <w:spacing w:beforeLines="50" w:afterLines="50"/>
        <w:ind w:firstLineChars="0"/>
        <w:rPr>
          <w:rFonts w:ascii="黑体" w:hAnsi="黑体" w:eastAsia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>小麦粉</w:t>
      </w:r>
    </w:p>
    <w:p>
      <w:pPr>
        <w:spacing w:beforeLines="50" w:afterLines="50"/>
        <w:ind w:firstLine="420" w:firstLineChars="200"/>
        <w:rPr>
          <w:rFonts w:ascii="黑体" w:hAnsi="黑体" w:eastAsia="黑体" w:cs="黑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应符合GB/T 1355的规定。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3.1.2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生产用水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应符合GB 5749的规定。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3.1.3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蔬菜及蔬菜制品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 xml:space="preserve"> 应符合NY/T493、NY/T964、GH/T1013等标准及相应标准的规定。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3.1.4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谷物粉类制品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应符合GB/T 10462、 GB/T 10463、NY/T 894等标准及相应标准的规定。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3.1.5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食用盐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应符合GB/T 5461 的规定。</w:t>
      </w:r>
    </w:p>
    <w:p>
      <w:pPr>
        <w:spacing w:beforeLines="50" w:afterLines="50"/>
        <w:rPr>
          <w:rFonts w:ascii="黑体" w:hAnsi="黑体" w:eastAsia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>3.1.6  蛋与蛋制品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</w:t>
      </w: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 xml:space="preserve"> 应符合GB 2749 的规定。</w:t>
      </w:r>
    </w:p>
    <w:p>
      <w:pPr>
        <w:spacing w:beforeLines="50" w:afterLines="50"/>
        <w:rPr>
          <w:rFonts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3.1.7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肉制品</w:t>
      </w:r>
    </w:p>
    <w:p>
      <w:pPr>
        <w:ind w:firstLine="420"/>
        <w:rPr>
          <w:rFonts w:ascii="宋体" w:hAnsi="宋体"/>
          <w:color w:val="auto"/>
          <w:kern w:val="0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应符合相应的肉制品标准的规定。</w:t>
      </w:r>
    </w:p>
    <w:p>
      <w:pPr>
        <w:spacing w:beforeLines="50" w:afterLines="50"/>
        <w:rPr>
          <w:rFonts w:ascii="黑体" w:hAnsi="黑体" w:eastAsia="黑体"/>
          <w:color w:val="auto"/>
          <w:kern w:val="0"/>
          <w:szCs w:val="21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auto"/>
          <w:kern w:val="0"/>
          <w:szCs w:val="21"/>
          <w:highlight w:val="none"/>
          <w:shd w:val="clear" w:color="auto" w:fill="auto"/>
        </w:rPr>
        <w:t>3.1.8  营养强化剂</w:t>
      </w:r>
    </w:p>
    <w:p>
      <w:pPr>
        <w:ind w:firstLine="405"/>
        <w:rPr>
          <w:rFonts w:ascii="宋体" w:hAnsi="宋体"/>
          <w:color w:val="auto"/>
          <w:kern w:val="0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shd w:val="clear" w:color="auto" w:fill="auto"/>
        </w:rPr>
        <w:t>营养强化剂的使用应符合GB 14880及相应产品标准的规定。</w:t>
      </w:r>
    </w:p>
    <w:p>
      <w:pPr>
        <w:spacing w:beforeLines="50" w:afterLines="50"/>
        <w:rPr>
          <w:rFonts w:ascii="黑体" w:hAnsi="黑体" w:eastAsia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3.2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感官要求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 应符合表l的规定。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>表1</w:t>
      </w:r>
      <w:r>
        <w:rPr>
          <w:rFonts w:eastAsia="黑体"/>
          <w:color w:val="auto"/>
          <w:szCs w:val="21"/>
          <w:highlight w:val="none"/>
          <w:shd w:val="clear" w:color="auto" w:fill="auto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937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bookmarkStart w:id="9" w:name="OLE_LINK60" w:colFirst="2" w:colLast="2"/>
            <w:bookmarkStart w:id="10" w:name="OLE_LINK79"/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项    目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要       求</w:t>
            </w:r>
          </w:p>
        </w:tc>
        <w:tc>
          <w:tcPr>
            <w:tcW w:w="2834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检验</w:t>
            </w: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色    泽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均匀一致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25"/>
              <w:spacing w:line="340" w:lineRule="exact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LS/T3212</w:t>
            </w:r>
          </w:p>
        </w:tc>
      </w:tr>
      <w:bookmark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>杂    质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无正常视力可见外来杂质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气    味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无酸味霉味及其他异味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口    感 </w:t>
            </w:r>
          </w:p>
        </w:tc>
        <w:tc>
          <w:tcPr>
            <w:tcW w:w="4937" w:type="dxa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shd w:val="clear" w:color="auto" w:fill="auto"/>
              </w:rPr>
              <w:t>煮熟后口感不粘不牙碜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spacing w:line="320" w:lineRule="exact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bookmarkEnd w:id="10"/>
    </w:tbl>
    <w:p>
      <w:pPr>
        <w:spacing w:beforeLines="50" w:afterLines="50"/>
        <w:rPr>
          <w:rFonts w:ascii="黑体" w:hAnsi="黑体" w:eastAsia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 xml:space="preserve">3.3  </w:t>
      </w:r>
      <w:r>
        <w:rPr>
          <w:rFonts w:hint="eastAsia" w:ascii="黑体" w:hAnsi="黑体" w:eastAsia="黑体" w:cs="黑体"/>
          <w:color w:val="auto"/>
          <w:kern w:val="0"/>
          <w:szCs w:val="20"/>
          <w:highlight w:val="none"/>
          <w:shd w:val="clear" w:color="auto" w:fill="auto"/>
        </w:rPr>
        <w:t>理化指标</w:t>
      </w:r>
    </w:p>
    <w:p>
      <w:pPr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 xml:space="preserve">    应符合表2的规定。</w:t>
      </w:r>
    </w:p>
    <w:p>
      <w:pPr>
        <w:spacing w:beforeLines="50" w:afterLines="50"/>
        <w:jc w:val="center"/>
        <w:rPr>
          <w:rFonts w:eastAsia="黑体"/>
          <w:color w:val="auto"/>
          <w:szCs w:val="21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highlight w:val="none"/>
          <w:shd w:val="clear" w:color="auto" w:fill="auto"/>
        </w:rPr>
        <w:t>表2</w:t>
      </w:r>
      <w:r>
        <w:rPr>
          <w:rFonts w:eastAsia="黑体"/>
          <w:color w:val="auto"/>
          <w:szCs w:val="21"/>
          <w:highlight w:val="none"/>
          <w:shd w:val="clear" w:color="auto" w:fill="auto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117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bookmarkStart w:id="11" w:name="OLE_LINK62" w:colFirst="2" w:colLast="2"/>
            <w:bookmarkStart w:id="12" w:name="OLE_LINK82"/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项</w:t>
            </w: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目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指</w:t>
            </w:r>
            <w:r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标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检验</w:t>
            </w:r>
            <w:r>
              <w:rPr>
                <w:rFonts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水分含量%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≤14.5</w:t>
            </w:r>
          </w:p>
        </w:tc>
        <w:tc>
          <w:tcPr>
            <w:tcW w:w="2932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GB 5009.3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酸度/（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M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L/10g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≤4.0</w:t>
            </w:r>
          </w:p>
        </w:tc>
        <w:tc>
          <w:tcPr>
            <w:tcW w:w="2932" w:type="dxa"/>
            <w:vAlign w:val="center"/>
          </w:tcPr>
          <w:p>
            <w:pPr>
              <w:pStyle w:val="8"/>
              <w:spacing w:line="320" w:lineRule="exact"/>
              <w:ind w:firstLine="0" w:firstLineChars="0"/>
              <w:jc w:val="center"/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LS/T 3212</w:t>
            </w:r>
            <w:r>
              <w:rPr>
                <w:rFonts w:cs="Times New Roman" w:asciiTheme="minorEastAsia" w:hAnsi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食盐（以NaCl计）/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GB 5009.44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自然断条率/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LS/T 3212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熟断条率/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LS/T 3212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烹调损失率/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（%）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≤10.0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shd w:val="clear" w:color="auto" w:fill="auto"/>
              </w:rPr>
              <w:t>LS/T 3212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铅(以Pb计) /(mg/kg)                      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≤0.18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auto"/>
              </w:rPr>
              <w:t>GB 5009.12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黄曲霉毒素B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vertAlign w:val="subscript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（μ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g/kg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 xml:space="preserve">） 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≤5.0</w:t>
            </w:r>
          </w:p>
        </w:tc>
        <w:tc>
          <w:tcPr>
            <w:tcW w:w="293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</w:rPr>
              <w:t>GB 5009.22</w:t>
            </w:r>
          </w:p>
        </w:tc>
      </w:tr>
      <w:bookmarkEnd w:id="11"/>
      <w:bookmarkEnd w:id="12"/>
    </w:tbl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cs="黑体"/>
          <w:color w:val="auto"/>
          <w:highlight w:val="none"/>
          <w:shd w:val="clear" w:color="auto" w:fill="auto"/>
        </w:rPr>
        <w:t>3.5  食品添加剂</w:t>
      </w:r>
    </w:p>
    <w:p>
      <w:pPr>
        <w:pStyle w:val="21"/>
        <w:tabs>
          <w:tab w:val="clear" w:pos="2880"/>
        </w:tabs>
        <w:ind w:left="0" w:firstLine="0"/>
        <w:rPr>
          <w:rFonts w:ascii="黑体" w:hAnsi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cs="黑体"/>
          <w:color w:val="auto"/>
          <w:highlight w:val="none"/>
          <w:shd w:val="clear" w:color="auto" w:fill="auto"/>
        </w:rPr>
        <w:t>3.5.1 食品添加剂质量应符合相应的标准和有关规定。</w:t>
      </w:r>
    </w:p>
    <w:p>
      <w:pPr>
        <w:pStyle w:val="22"/>
        <w:tabs>
          <w:tab w:val="clear" w:pos="2160"/>
        </w:tabs>
        <w:ind w:left="0" w:firstLine="0"/>
        <w:rPr>
          <w:rFonts w:ascii="黑体" w:hAnsi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cs="黑体"/>
          <w:color w:val="auto"/>
          <w:highlight w:val="none"/>
          <w:shd w:val="clear" w:color="auto" w:fill="auto"/>
        </w:rPr>
        <w:t xml:space="preserve">3.5.2 食品添加剂种类及添加量应符合GB 2760的规定。 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cs="黑体"/>
          <w:color w:val="auto"/>
          <w:highlight w:val="none"/>
          <w:shd w:val="clear" w:color="auto" w:fill="auto"/>
        </w:rPr>
        <w:t>3.6  净含量</w:t>
      </w:r>
    </w:p>
    <w:p>
      <w:pPr>
        <w:pStyle w:val="20"/>
        <w:spacing w:line="340" w:lineRule="exact"/>
        <w:jc w:val="both"/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</w:pPr>
      <w:r>
        <w:rPr>
          <w:rFonts w:ascii="宋体" w:eastAsia="宋体"/>
          <w:color w:val="auto"/>
          <w:sz w:val="21"/>
          <w:highlight w:val="none"/>
          <w:shd w:val="clear" w:color="auto" w:fill="auto"/>
        </w:rPr>
        <w:t xml:space="preserve">    应符合国家《定量包装商品计量监督管理办法》</w:t>
      </w:r>
      <w:r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  <w:t>的规定。</w:t>
      </w:r>
      <w:r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  <w:t>按</w:t>
      </w:r>
      <w:r>
        <w:rPr>
          <w:rFonts w:ascii="宋体" w:eastAsia="宋体"/>
          <w:color w:val="auto"/>
          <w:sz w:val="21"/>
          <w:highlight w:val="none"/>
          <w:shd w:val="clear" w:color="auto" w:fill="auto"/>
        </w:rPr>
        <w:t>JJF 1070的规定进行检验。</w:t>
      </w:r>
    </w:p>
    <w:p>
      <w:pPr>
        <w:pStyle w:val="22"/>
        <w:tabs>
          <w:tab w:val="clear" w:pos="2160"/>
        </w:tabs>
        <w:spacing w:beforeLines="50" w:afterLines="50"/>
        <w:ind w:left="0" w:firstLine="0"/>
        <w:rPr>
          <w:rFonts w:ascii="黑体" w:hAnsi="黑体" w:cs="黑体"/>
          <w:color w:val="auto"/>
          <w:highlight w:val="none"/>
          <w:shd w:val="clear" w:color="auto" w:fill="auto"/>
        </w:rPr>
      </w:pPr>
      <w:r>
        <w:rPr>
          <w:rFonts w:hint="eastAsia" w:ascii="黑体" w:hAnsi="黑体" w:cs="黑体"/>
          <w:color w:val="auto"/>
          <w:highlight w:val="none"/>
          <w:shd w:val="clear" w:color="auto" w:fill="auto"/>
        </w:rPr>
        <w:t>3.7  生产过程卫生要求</w:t>
      </w:r>
    </w:p>
    <w:p>
      <w:pPr>
        <w:pStyle w:val="20"/>
        <w:spacing w:line="340" w:lineRule="exact"/>
        <w:ind w:firstLine="420" w:firstLineChars="200"/>
        <w:jc w:val="both"/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</w:pPr>
      <w:r>
        <w:rPr>
          <w:rFonts w:ascii="宋体" w:eastAsia="宋体"/>
          <w:color w:val="auto"/>
          <w:sz w:val="21"/>
          <w:highlight w:val="none"/>
          <w:shd w:val="clear" w:color="auto" w:fill="auto"/>
        </w:rPr>
        <w:t>应符合</w:t>
      </w:r>
      <w:r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  <w:t xml:space="preserve">GB </w:t>
      </w:r>
      <w:r>
        <w:rPr>
          <w:rFonts w:ascii="宋体" w:eastAsia="宋体"/>
          <w:color w:val="auto"/>
          <w:sz w:val="21"/>
          <w:highlight w:val="none"/>
          <w:shd w:val="clear" w:color="auto" w:fill="auto"/>
        </w:rPr>
        <w:t>14881</w:t>
      </w:r>
      <w:r>
        <w:rPr>
          <w:rFonts w:hint="default" w:ascii="宋体" w:eastAsia="宋体"/>
          <w:color w:val="auto"/>
          <w:sz w:val="21"/>
          <w:highlight w:val="none"/>
          <w:shd w:val="clear" w:color="auto" w:fill="auto"/>
        </w:rPr>
        <w:t>的规定。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  检验规则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4.1  组批</w:t>
      </w:r>
    </w:p>
    <w:p>
      <w:pPr>
        <w:pStyle w:val="8"/>
        <w:ind w:firstLine="0" w:firstLineChars="0"/>
        <w:rPr>
          <w:rFonts w:hAnsi="宋体"/>
          <w:color w:val="auto"/>
          <w:highlight w:val="none"/>
          <w:shd w:val="clear" w:color="auto" w:fill="auto"/>
        </w:rPr>
      </w:pPr>
      <w:r>
        <w:rPr>
          <w:rFonts w:hint="eastAsia" w:hAnsi="宋体"/>
          <w:color w:val="auto"/>
          <w:highlight w:val="none"/>
          <w:shd w:val="clear" w:color="auto" w:fill="auto"/>
        </w:rPr>
        <w:t xml:space="preserve">    同一品种的同一配方、同一次投料、同一工艺生产的同一规格的产品为同一批次。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4.2  抽样</w:t>
      </w:r>
    </w:p>
    <w:p>
      <w:pPr>
        <w:pStyle w:val="8"/>
        <w:ind w:firstLine="0" w:firstLineChars="0"/>
        <w:rPr>
          <w:rFonts w:hAnsi="宋体"/>
          <w:color w:val="auto"/>
          <w:highlight w:val="none"/>
          <w:shd w:val="clear" w:color="auto" w:fill="auto"/>
        </w:rPr>
      </w:pPr>
      <w:r>
        <w:rPr>
          <w:rFonts w:hint="eastAsia" w:hAnsi="宋体"/>
          <w:color w:val="auto"/>
          <w:highlight w:val="none"/>
          <w:shd w:val="clear" w:color="auto" w:fill="auto"/>
        </w:rPr>
        <w:t xml:space="preserve">    每批随机抽取12份样品，分为两份，一份检验，一份备用。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4.3  检验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4.3.1 出厂检验</w:t>
      </w:r>
    </w:p>
    <w:p>
      <w:pPr>
        <w:pStyle w:val="8"/>
        <w:rPr>
          <w:rFonts w:hAnsi="宋体"/>
          <w:color w:val="auto"/>
          <w:highlight w:val="none"/>
          <w:shd w:val="clear" w:color="auto" w:fill="auto"/>
        </w:rPr>
      </w:pPr>
      <w:r>
        <w:rPr>
          <w:rFonts w:hint="eastAsia" w:hAnsi="宋体"/>
          <w:color w:val="auto"/>
          <w:highlight w:val="none"/>
          <w:shd w:val="clear" w:color="auto" w:fill="auto"/>
        </w:rPr>
        <w:t>每批产品出厂前都应进行出厂检验，出厂检验项目包括：感官、水分、酸度、自然断条率、熟断条率、烹调损失率、净含量。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4.3.2  型式检验</w:t>
      </w:r>
    </w:p>
    <w:p>
      <w:pPr>
        <w:ind w:firstLine="420" w:firstLineChars="200"/>
        <w:rPr>
          <w:rFonts w:ascii="宋体" w:hAnsi="宋体" w:cs="宋体"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型式检验为本标准中3.2～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3.6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项中规定的项目，每半年进行一次，有下情况之一时亦应进行型式检验：</w:t>
      </w:r>
    </w:p>
    <w:p>
      <w:pPr>
        <w:ind w:firstLine="420" w:firstLineChars="200"/>
        <w:rPr>
          <w:rFonts w:ascii="宋体" w:hAnsi="宋体" w:cs="宋体"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a、</w:t>
      </w:r>
      <w:r>
        <w:rPr>
          <w:rFonts w:hint="eastAsia" w:ascii="宋体" w:hAnsi="宋体" w:cs="宋体"/>
          <w:bCs/>
          <w:color w:val="auto"/>
          <w:szCs w:val="21"/>
          <w:highlight w:val="none"/>
          <w:shd w:val="clear" w:color="auto" w:fill="auto"/>
        </w:rPr>
        <w:t>原料产地或生产工艺设备有较大改变，可能影响产品质量时；</w:t>
      </w:r>
    </w:p>
    <w:p>
      <w:pPr>
        <w:ind w:firstLine="420" w:firstLineChars="200"/>
        <w:rPr>
          <w:rFonts w:ascii="宋体" w:hAnsi="宋体" w:cs="宋体"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b、连续停产三月以上恢复生产时；</w:t>
      </w:r>
    </w:p>
    <w:p>
      <w:pPr>
        <w:ind w:firstLine="420" w:firstLineChars="200"/>
        <w:rPr>
          <w:rFonts w:ascii="宋体" w:hAnsi="宋体" w:cs="宋体"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c、出厂检验结果与上次型式检验结果有较大差异时;</w:t>
      </w:r>
    </w:p>
    <w:p>
      <w:pPr>
        <w:ind w:firstLine="420" w:firstLineChars="200"/>
        <w:rPr>
          <w:rFonts w:ascii="宋体" w:hAnsi="宋体" w:cs="宋体"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d、</w:t>
      </w:r>
      <w:r>
        <w:rPr>
          <w:rFonts w:hint="eastAsia" w:ascii="宋体" w:hAnsi="宋体" w:cs="宋体"/>
          <w:snapToGrid w:val="0"/>
          <w:color w:val="auto"/>
          <w:szCs w:val="21"/>
          <w:highlight w:val="none"/>
          <w:shd w:val="clear" w:color="auto" w:fill="auto"/>
        </w:rPr>
        <w:t>国家市场监督管理部门</w:t>
      </w:r>
      <w:r>
        <w:rPr>
          <w:rFonts w:hint="eastAsia" w:ascii="宋体" w:hAnsi="宋体" w:cs="宋体"/>
          <w:color w:val="auto"/>
          <w:szCs w:val="21"/>
          <w:highlight w:val="none"/>
          <w:shd w:val="clear" w:color="auto" w:fill="auto"/>
        </w:rPr>
        <w:t>提出型式检验要求时。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4.4  判定规则</w:t>
      </w:r>
    </w:p>
    <w:p>
      <w:pPr>
        <w:pStyle w:val="25"/>
        <w:spacing w:before="50" w:after="50" w:line="340" w:lineRule="exact"/>
        <w:ind w:firstLine="420" w:firstLineChars="200"/>
        <w:rPr>
          <w:rFonts w:ascii="宋体" w:hAnsi="宋体"/>
          <w:color w:val="auto"/>
          <w:sz w:val="21"/>
          <w:highlight w:val="none"/>
          <w:shd w:val="clear" w:color="auto" w:fill="auto"/>
        </w:rPr>
      </w:pPr>
      <w:r>
        <w:rPr>
          <w:rFonts w:ascii="宋体" w:hAnsi="宋体"/>
          <w:color w:val="auto"/>
          <w:sz w:val="21"/>
          <w:highlight w:val="none"/>
          <w:shd w:val="clear" w:color="auto" w:fill="auto"/>
        </w:rPr>
        <w:t>检验项目全部合格者，判为合格品。否则，可对该批次留样产品进行不符合项的检验，判定结果以复检结果为准。</w:t>
      </w:r>
    </w:p>
    <w:p>
      <w:pPr>
        <w:pStyle w:val="24"/>
        <w:tabs>
          <w:tab w:val="clear" w:pos="1440"/>
        </w:tabs>
        <w:spacing w:beforeLines="100" w:afterLines="100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5   标志、标签、包装、运输、贮存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5.1  标志、标签</w:t>
      </w:r>
    </w:p>
    <w:p>
      <w:pPr>
        <w:pStyle w:val="19"/>
        <w:spacing w:line="340" w:lineRule="exact"/>
        <w:ind w:left="0" w:firstLine="400"/>
        <w:rPr>
          <w:rFonts w:ascii="宋体" w:hAnsi="宋体"/>
          <w:color w:val="auto"/>
          <w:highlight w:val="none"/>
          <w:shd w:val="clear" w:color="auto" w:fill="auto"/>
        </w:rPr>
      </w:pPr>
      <w:r>
        <w:rPr>
          <w:rFonts w:hint="eastAsia" w:ascii="宋体" w:hAnsi="宋体"/>
          <w:color w:val="auto"/>
          <w:highlight w:val="none"/>
          <w:shd w:val="clear" w:color="auto" w:fill="auto"/>
        </w:rPr>
        <w:t>产品包装应有明显标志，食品标签</w:t>
      </w:r>
      <w:r>
        <w:rPr>
          <w:rFonts w:ascii="宋体" w:hAnsi="宋体"/>
          <w:color w:val="auto"/>
          <w:highlight w:val="none"/>
          <w:shd w:val="clear" w:color="auto" w:fill="auto"/>
        </w:rPr>
        <w:t>应符合GB 7718</w:t>
      </w:r>
      <w:r>
        <w:rPr>
          <w:rFonts w:hint="eastAsia" w:ascii="宋体" w:hAnsi="宋体"/>
          <w:color w:val="auto"/>
          <w:highlight w:val="none"/>
          <w:shd w:val="clear" w:color="auto" w:fill="auto"/>
        </w:rPr>
        <w:t>和</w:t>
      </w:r>
      <w:r>
        <w:rPr>
          <w:rFonts w:ascii="宋体" w:hAnsi="宋体"/>
          <w:color w:val="auto"/>
          <w:highlight w:val="none"/>
          <w:shd w:val="clear" w:color="auto" w:fill="auto"/>
        </w:rPr>
        <w:t>GB</w:t>
      </w:r>
      <w:r>
        <w:rPr>
          <w:rFonts w:hint="eastAsia" w:ascii="宋体" w:hAnsi="宋体"/>
          <w:color w:val="auto"/>
          <w:highlight w:val="none"/>
          <w:shd w:val="clear" w:color="auto" w:fill="auto"/>
        </w:rPr>
        <w:t xml:space="preserve"> 28050</w:t>
      </w:r>
      <w:r>
        <w:rPr>
          <w:rFonts w:ascii="宋体" w:hAnsi="宋体"/>
          <w:color w:val="auto"/>
          <w:highlight w:val="none"/>
          <w:shd w:val="clear" w:color="auto" w:fill="auto"/>
        </w:rPr>
        <w:t>的规定</w:t>
      </w:r>
      <w:r>
        <w:rPr>
          <w:rFonts w:hint="eastAsia" w:ascii="宋体" w:hAnsi="宋体"/>
          <w:color w:val="auto"/>
          <w:highlight w:val="none"/>
          <w:shd w:val="clear" w:color="auto" w:fill="auto"/>
        </w:rPr>
        <w:t>，包装储运图示标志应符合</w:t>
      </w:r>
      <w:r>
        <w:rPr>
          <w:rFonts w:ascii="宋体" w:hAnsi="宋体"/>
          <w:color w:val="auto"/>
          <w:highlight w:val="none"/>
          <w:shd w:val="clear" w:color="auto" w:fill="auto"/>
        </w:rPr>
        <w:t>GB/T 191的规定</w:t>
      </w:r>
      <w:r>
        <w:rPr>
          <w:rFonts w:hint="eastAsia" w:ascii="宋体" w:hAnsi="宋体"/>
          <w:color w:val="auto"/>
          <w:highlight w:val="none"/>
          <w:shd w:val="clear" w:color="auto" w:fill="auto"/>
        </w:rPr>
        <w:t>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5.2  包装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  <w:highlight w:val="none"/>
          <w:shd w:val="clear" w:color="auto" w:fill="auto"/>
        </w:rPr>
      </w:pPr>
      <w:r>
        <w:rPr>
          <w:rFonts w:ascii="宋体" w:hAnsi="宋体"/>
          <w:color w:val="auto"/>
          <w:sz w:val="21"/>
          <w:highlight w:val="none"/>
          <w:shd w:val="clear" w:color="auto" w:fill="auto"/>
        </w:rPr>
        <w:t>应采用密闭包装，包装材料应清洁、无异味、无毒无害，并应符合国家相关食品包装材料的安全卫生标准规定。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5.3  运输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  <w:highlight w:val="none"/>
          <w:shd w:val="clear" w:color="auto" w:fill="auto"/>
        </w:rPr>
      </w:pPr>
      <w:r>
        <w:rPr>
          <w:rFonts w:ascii="宋体" w:hAnsi="宋体"/>
          <w:color w:val="auto"/>
          <w:sz w:val="21"/>
          <w:highlight w:val="none"/>
          <w:shd w:val="clear" w:color="auto" w:fill="auto"/>
        </w:rPr>
        <w:t>运输工具应清洁卫生、无异味、无污染，运输时应防止日晒、雨淋，不得与有毒、有害、有异味、或影响产品质量的物品混装运输。</w:t>
      </w:r>
    </w:p>
    <w:p>
      <w:pPr>
        <w:pStyle w:val="24"/>
        <w:tabs>
          <w:tab w:val="clear" w:pos="1440"/>
        </w:tabs>
        <w:spacing w:before="156" w:after="156"/>
        <w:ind w:left="0" w:firstLine="0"/>
        <w:rPr>
          <w:rFonts w:hAnsi="黑体" w:cs="黑体"/>
          <w:color w:val="auto"/>
          <w:highlight w:val="none"/>
          <w:shd w:val="clear" w:color="auto" w:fill="auto"/>
        </w:rPr>
      </w:pPr>
      <w:r>
        <w:rPr>
          <w:rFonts w:hint="eastAsia" w:hAnsi="黑体" w:cs="黑体"/>
          <w:color w:val="auto"/>
          <w:highlight w:val="none"/>
          <w:shd w:val="clear" w:color="auto" w:fill="auto"/>
        </w:rPr>
        <w:t>5.4  贮存</w:t>
      </w:r>
    </w:p>
    <w:p>
      <w:pPr>
        <w:pStyle w:val="25"/>
        <w:spacing w:line="340" w:lineRule="exact"/>
        <w:ind w:firstLine="420" w:firstLineChars="200"/>
        <w:rPr>
          <w:rFonts w:ascii="宋体" w:hAnsi="宋体"/>
          <w:color w:val="auto"/>
          <w:sz w:val="21"/>
          <w:highlight w:val="none"/>
          <w:shd w:val="clear" w:color="auto" w:fill="auto"/>
        </w:rPr>
      </w:pPr>
      <w:r>
        <w:rPr>
          <w:rFonts w:ascii="宋体" w:hAnsi="宋体"/>
          <w:color w:val="auto"/>
          <w:sz w:val="21"/>
          <w:highlight w:val="none"/>
          <w:shd w:val="clear" w:color="auto" w:fill="auto"/>
        </w:rPr>
        <w:t>产品应贮存于阴凉、干躁、通风良好、清洁卫生的场所，严禁与有毒、有害、有异味、易挥发、易腐蚀的物品同处贮存。</w:t>
      </w:r>
    </w:p>
    <w:p>
      <w:pPr>
        <w:pStyle w:val="25"/>
        <w:spacing w:line="340" w:lineRule="exact"/>
        <w:rPr>
          <w:rFonts w:ascii="宋体" w:hAnsi="宋体"/>
          <w:color w:val="auto"/>
          <w:sz w:val="21"/>
          <w:highlight w:val="none"/>
          <w:shd w:val="clear" w:color="auto" w:fill="auto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  <w:highlight w:val="none"/>
          <w:shd w:val="clear" w:color="auto" w:fill="auto"/>
        </w:rPr>
      </w:pPr>
    </w:p>
    <w:p>
      <w:pPr>
        <w:pStyle w:val="25"/>
        <w:spacing w:line="340" w:lineRule="exact"/>
        <w:rPr>
          <w:rFonts w:ascii="宋体" w:hAnsi="宋体"/>
          <w:color w:val="auto"/>
          <w:sz w:val="21"/>
          <w:highlight w:val="none"/>
          <w:u w:val="single"/>
          <w:shd w:val="clear" w:color="auto" w:fill="auto"/>
        </w:rPr>
      </w:pPr>
      <w:r>
        <w:rPr>
          <w:rFonts w:ascii="宋体" w:hAnsi="宋体"/>
          <w:color w:val="auto"/>
          <w:sz w:val="21"/>
          <w:highlight w:val="none"/>
          <w:shd w:val="clear" w:color="auto" w:fill="auto"/>
        </w:rPr>
        <w:t xml:space="preserve">                                 </w:t>
      </w:r>
      <w:r>
        <w:rPr>
          <w:rFonts w:ascii="宋体" w:hAnsi="宋体"/>
          <w:color w:val="auto"/>
          <w:sz w:val="21"/>
          <w:highlight w:val="none"/>
          <w:u w:val="single"/>
          <w:shd w:val="clear" w:color="auto" w:fill="auto"/>
        </w:rPr>
        <w:t xml:space="preserve">                  </w:t>
      </w:r>
      <w:r>
        <w:rPr>
          <w:rFonts w:hint="eastAsia" w:ascii="宋体" w:hAnsi="宋体"/>
          <w:color w:val="auto"/>
          <w:sz w:val="21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/>
          <w:color w:val="auto"/>
          <w:sz w:val="21"/>
          <w:highlight w:val="none"/>
          <w:u w:val="single"/>
          <w:shd w:val="clear" w:color="auto" w:fill="auto"/>
        </w:rPr>
        <w:t xml:space="preserve"> </w:t>
      </w:r>
    </w:p>
    <w:p>
      <w:pPr>
        <w:pStyle w:val="8"/>
        <w:rPr>
          <w:rFonts w:hAnsi="宋体"/>
          <w:color w:val="auto"/>
          <w:highlight w:val="none"/>
          <w:shd w:val="clear" w:color="auto" w:fill="auto"/>
        </w:rPr>
      </w:pPr>
    </w:p>
    <w:p>
      <w:pPr>
        <w:pStyle w:val="8"/>
        <w:rPr>
          <w:color w:val="auto"/>
          <w:highlight w:val="none"/>
          <w:shd w:val="clear" w:color="auto" w:fill="auto"/>
        </w:rPr>
      </w:pPr>
    </w:p>
    <w:p>
      <w:pPr>
        <w:pStyle w:val="25"/>
        <w:spacing w:before="50" w:after="50" w:line="340" w:lineRule="exact"/>
        <w:rPr>
          <w:rFonts w:ascii="宋体" w:hAnsi="宋体"/>
          <w:color w:val="auto"/>
          <w:sz w:val="21"/>
          <w:highlight w:val="none"/>
          <w:shd w:val="clear" w:color="auto" w:fill="auto"/>
        </w:rPr>
      </w:pPr>
    </w:p>
    <w:bookmarkEnd w:id="8"/>
    <w:p>
      <w:pPr>
        <w:pStyle w:val="8"/>
        <w:ind w:firstLine="0" w:firstLineChars="0"/>
        <w:rPr>
          <w:rFonts w:hAnsi="宋体"/>
          <w:color w:val="auto"/>
          <w:highlight w:val="none"/>
          <w:shd w:val="clear" w:color="auto" w:fill="auto"/>
        </w:rPr>
      </w:pPr>
    </w:p>
    <w:sectPr>
      <w:headerReference r:id="rId5" w:type="default"/>
      <w:pgSz w:w="11906" w:h="16838"/>
      <w:pgMar w:top="1418" w:right="1418" w:bottom="1418" w:left="1418" w:header="1134" w:footer="113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14" w:name="OLE_LINK13"/>
    <w:bookmarkEnd w:id="1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Times New Roman"/>
      </w:rPr>
    </w:pPr>
    <w:bookmarkStart w:id="13" w:name="OLE_LINK17"/>
    <w:r>
      <w:rPr>
        <w:rFonts w:hint="eastAsia" w:hAnsi="黑体" w:cs="黑体"/>
      </w:rPr>
      <w:t>Q/YX 0001S—201</w:t>
    </w:r>
    <w:bookmarkEnd w:id="13"/>
    <w:r>
      <w:rPr>
        <w:rFonts w:hint="eastAsia" w:hAnsi="黑体" w:cs="黑体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0"/>
      <w:rPr>
        <w:rFonts w:hAnsi="黑体" w:cs="黑体"/>
      </w:rPr>
    </w:pPr>
    <w:bookmarkStart w:id="15" w:name="OLE_LINK1"/>
    <w:bookmarkStart w:id="16" w:name="OLE_LINK18"/>
    <w:r>
      <w:rPr>
        <w:rFonts w:hint="eastAsia" w:hAnsi="黑体" w:cs="黑体"/>
      </w:rPr>
      <w:t>Q/YX 0001S—201</w:t>
    </w:r>
    <w:bookmarkEnd w:id="15"/>
    <w:bookmarkEnd w:id="16"/>
    <w:r>
      <w:rPr>
        <w:rFonts w:hint="eastAsia" w:hAnsi="黑体" w:cs="黑体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4A24"/>
    <w:multiLevelType w:val="multilevel"/>
    <w:tmpl w:val="4C134A2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4CE"/>
    <w:rsid w:val="00003550"/>
    <w:rsid w:val="000048CA"/>
    <w:rsid w:val="00005E0C"/>
    <w:rsid w:val="000136A4"/>
    <w:rsid w:val="00017FB9"/>
    <w:rsid w:val="00021323"/>
    <w:rsid w:val="0002525E"/>
    <w:rsid w:val="00025656"/>
    <w:rsid w:val="000261D1"/>
    <w:rsid w:val="0003073F"/>
    <w:rsid w:val="000324B3"/>
    <w:rsid w:val="0003570D"/>
    <w:rsid w:val="00035B99"/>
    <w:rsid w:val="0004682F"/>
    <w:rsid w:val="00054A3A"/>
    <w:rsid w:val="00056FAD"/>
    <w:rsid w:val="00061883"/>
    <w:rsid w:val="00065F1A"/>
    <w:rsid w:val="00071FF6"/>
    <w:rsid w:val="00095C8D"/>
    <w:rsid w:val="000979E5"/>
    <w:rsid w:val="000A5AA7"/>
    <w:rsid w:val="000B4ACD"/>
    <w:rsid w:val="000B4FD5"/>
    <w:rsid w:val="000B5639"/>
    <w:rsid w:val="000B6993"/>
    <w:rsid w:val="000D7563"/>
    <w:rsid w:val="000F01CC"/>
    <w:rsid w:val="000F35AD"/>
    <w:rsid w:val="000F5B29"/>
    <w:rsid w:val="00101E94"/>
    <w:rsid w:val="00127C6E"/>
    <w:rsid w:val="00132E2E"/>
    <w:rsid w:val="001366D9"/>
    <w:rsid w:val="001367FD"/>
    <w:rsid w:val="00142C06"/>
    <w:rsid w:val="00146356"/>
    <w:rsid w:val="00146EBC"/>
    <w:rsid w:val="0015133E"/>
    <w:rsid w:val="00152FA7"/>
    <w:rsid w:val="00155C9F"/>
    <w:rsid w:val="00161A43"/>
    <w:rsid w:val="00170368"/>
    <w:rsid w:val="001729A7"/>
    <w:rsid w:val="001759AA"/>
    <w:rsid w:val="001849B3"/>
    <w:rsid w:val="0019098A"/>
    <w:rsid w:val="00191DC4"/>
    <w:rsid w:val="00193F68"/>
    <w:rsid w:val="0019657E"/>
    <w:rsid w:val="001A6045"/>
    <w:rsid w:val="001A67BC"/>
    <w:rsid w:val="001B1999"/>
    <w:rsid w:val="001B63C8"/>
    <w:rsid w:val="001C1F55"/>
    <w:rsid w:val="001D52EC"/>
    <w:rsid w:val="001D6AE1"/>
    <w:rsid w:val="001D72C6"/>
    <w:rsid w:val="001F1C5A"/>
    <w:rsid w:val="00200609"/>
    <w:rsid w:val="00202FCD"/>
    <w:rsid w:val="00211E00"/>
    <w:rsid w:val="002162C5"/>
    <w:rsid w:val="002246A9"/>
    <w:rsid w:val="00225BF0"/>
    <w:rsid w:val="00234C49"/>
    <w:rsid w:val="002352E5"/>
    <w:rsid w:val="00241D14"/>
    <w:rsid w:val="00253F46"/>
    <w:rsid w:val="00267446"/>
    <w:rsid w:val="0026755B"/>
    <w:rsid w:val="00270F12"/>
    <w:rsid w:val="002740E5"/>
    <w:rsid w:val="00283E84"/>
    <w:rsid w:val="00285BB9"/>
    <w:rsid w:val="00285DD2"/>
    <w:rsid w:val="00286FE9"/>
    <w:rsid w:val="0029546C"/>
    <w:rsid w:val="002B700F"/>
    <w:rsid w:val="002C01A9"/>
    <w:rsid w:val="002C031D"/>
    <w:rsid w:val="002D5E25"/>
    <w:rsid w:val="002D79D6"/>
    <w:rsid w:val="002E6DFF"/>
    <w:rsid w:val="002F2F6D"/>
    <w:rsid w:val="00311DB7"/>
    <w:rsid w:val="00345102"/>
    <w:rsid w:val="00350F0D"/>
    <w:rsid w:val="0035455C"/>
    <w:rsid w:val="00357B60"/>
    <w:rsid w:val="00357E92"/>
    <w:rsid w:val="003610CE"/>
    <w:rsid w:val="00365934"/>
    <w:rsid w:val="00366062"/>
    <w:rsid w:val="003665B6"/>
    <w:rsid w:val="0036775B"/>
    <w:rsid w:val="00377EC6"/>
    <w:rsid w:val="003911C8"/>
    <w:rsid w:val="00395837"/>
    <w:rsid w:val="003A54CE"/>
    <w:rsid w:val="003A73C8"/>
    <w:rsid w:val="003B3F87"/>
    <w:rsid w:val="003C071E"/>
    <w:rsid w:val="003C3DF8"/>
    <w:rsid w:val="003C7603"/>
    <w:rsid w:val="003D0B0A"/>
    <w:rsid w:val="003D5F43"/>
    <w:rsid w:val="003F18EB"/>
    <w:rsid w:val="00415865"/>
    <w:rsid w:val="00424619"/>
    <w:rsid w:val="00450600"/>
    <w:rsid w:val="00453E5B"/>
    <w:rsid w:val="00460FB8"/>
    <w:rsid w:val="00465CB5"/>
    <w:rsid w:val="004700F5"/>
    <w:rsid w:val="00476BC6"/>
    <w:rsid w:val="004834D8"/>
    <w:rsid w:val="0049193C"/>
    <w:rsid w:val="004947AD"/>
    <w:rsid w:val="00494AD8"/>
    <w:rsid w:val="004A38CD"/>
    <w:rsid w:val="004B18A3"/>
    <w:rsid w:val="004C6C2D"/>
    <w:rsid w:val="004D7A5E"/>
    <w:rsid w:val="004E3593"/>
    <w:rsid w:val="004F0A94"/>
    <w:rsid w:val="004F1591"/>
    <w:rsid w:val="004F1CDA"/>
    <w:rsid w:val="004F4E39"/>
    <w:rsid w:val="004F6559"/>
    <w:rsid w:val="0050097C"/>
    <w:rsid w:val="005068AC"/>
    <w:rsid w:val="0051584C"/>
    <w:rsid w:val="0052347D"/>
    <w:rsid w:val="00527488"/>
    <w:rsid w:val="00545A8C"/>
    <w:rsid w:val="00555137"/>
    <w:rsid w:val="00556E3E"/>
    <w:rsid w:val="0056133C"/>
    <w:rsid w:val="005626C1"/>
    <w:rsid w:val="00566A58"/>
    <w:rsid w:val="00592B21"/>
    <w:rsid w:val="00596831"/>
    <w:rsid w:val="005A794B"/>
    <w:rsid w:val="005B2039"/>
    <w:rsid w:val="005B5883"/>
    <w:rsid w:val="005C68A7"/>
    <w:rsid w:val="005D3DB8"/>
    <w:rsid w:val="005E0FA5"/>
    <w:rsid w:val="005F1340"/>
    <w:rsid w:val="006045F2"/>
    <w:rsid w:val="00607C31"/>
    <w:rsid w:val="006136D5"/>
    <w:rsid w:val="00614B99"/>
    <w:rsid w:val="0062700C"/>
    <w:rsid w:val="00627C93"/>
    <w:rsid w:val="00630739"/>
    <w:rsid w:val="00630F05"/>
    <w:rsid w:val="00632731"/>
    <w:rsid w:val="006443B0"/>
    <w:rsid w:val="00644B68"/>
    <w:rsid w:val="00651124"/>
    <w:rsid w:val="00653391"/>
    <w:rsid w:val="00671097"/>
    <w:rsid w:val="0067224F"/>
    <w:rsid w:val="00672F79"/>
    <w:rsid w:val="00676ACF"/>
    <w:rsid w:val="00681394"/>
    <w:rsid w:val="006814B9"/>
    <w:rsid w:val="006870C6"/>
    <w:rsid w:val="00687F81"/>
    <w:rsid w:val="00693F59"/>
    <w:rsid w:val="006A08CF"/>
    <w:rsid w:val="006A3620"/>
    <w:rsid w:val="006A5839"/>
    <w:rsid w:val="006B08FC"/>
    <w:rsid w:val="006C1A1D"/>
    <w:rsid w:val="006C47CB"/>
    <w:rsid w:val="006D3A2B"/>
    <w:rsid w:val="006D62E5"/>
    <w:rsid w:val="006E294F"/>
    <w:rsid w:val="006E2C33"/>
    <w:rsid w:val="006E524D"/>
    <w:rsid w:val="006F0BBF"/>
    <w:rsid w:val="0070148A"/>
    <w:rsid w:val="007042D4"/>
    <w:rsid w:val="007044F3"/>
    <w:rsid w:val="00720A42"/>
    <w:rsid w:val="0072183C"/>
    <w:rsid w:val="007255F3"/>
    <w:rsid w:val="0073206F"/>
    <w:rsid w:val="00740B68"/>
    <w:rsid w:val="00741B65"/>
    <w:rsid w:val="007441EE"/>
    <w:rsid w:val="0075083C"/>
    <w:rsid w:val="00754C7A"/>
    <w:rsid w:val="007604B6"/>
    <w:rsid w:val="00760511"/>
    <w:rsid w:val="007613E7"/>
    <w:rsid w:val="00775A18"/>
    <w:rsid w:val="007A0C36"/>
    <w:rsid w:val="007A2EE8"/>
    <w:rsid w:val="007B5E33"/>
    <w:rsid w:val="007C083C"/>
    <w:rsid w:val="007C1D29"/>
    <w:rsid w:val="007D250F"/>
    <w:rsid w:val="007D48DD"/>
    <w:rsid w:val="007E30D3"/>
    <w:rsid w:val="007E5742"/>
    <w:rsid w:val="007E5B87"/>
    <w:rsid w:val="007F0B3C"/>
    <w:rsid w:val="007F1301"/>
    <w:rsid w:val="007F3CF1"/>
    <w:rsid w:val="008002EE"/>
    <w:rsid w:val="00806C04"/>
    <w:rsid w:val="00826371"/>
    <w:rsid w:val="00833AE5"/>
    <w:rsid w:val="0084175E"/>
    <w:rsid w:val="00841CB3"/>
    <w:rsid w:val="008453C2"/>
    <w:rsid w:val="00850534"/>
    <w:rsid w:val="00850CF1"/>
    <w:rsid w:val="0085488E"/>
    <w:rsid w:val="00883280"/>
    <w:rsid w:val="00887E23"/>
    <w:rsid w:val="00891BD3"/>
    <w:rsid w:val="00892BC6"/>
    <w:rsid w:val="008A6C0B"/>
    <w:rsid w:val="008B09FD"/>
    <w:rsid w:val="008B0E0F"/>
    <w:rsid w:val="008B1499"/>
    <w:rsid w:val="008B3F9C"/>
    <w:rsid w:val="008B6260"/>
    <w:rsid w:val="008B69B0"/>
    <w:rsid w:val="008C7A4D"/>
    <w:rsid w:val="008D04E9"/>
    <w:rsid w:val="008D0577"/>
    <w:rsid w:val="008D7C72"/>
    <w:rsid w:val="008E1F8D"/>
    <w:rsid w:val="008F1C72"/>
    <w:rsid w:val="008F30F6"/>
    <w:rsid w:val="008F435A"/>
    <w:rsid w:val="008F4BEE"/>
    <w:rsid w:val="00906F66"/>
    <w:rsid w:val="00912EAE"/>
    <w:rsid w:val="009149C2"/>
    <w:rsid w:val="00922907"/>
    <w:rsid w:val="009263E6"/>
    <w:rsid w:val="00933C35"/>
    <w:rsid w:val="00934409"/>
    <w:rsid w:val="0094631A"/>
    <w:rsid w:val="00950653"/>
    <w:rsid w:val="009562D2"/>
    <w:rsid w:val="009645CF"/>
    <w:rsid w:val="00965677"/>
    <w:rsid w:val="00965BB3"/>
    <w:rsid w:val="00971A0C"/>
    <w:rsid w:val="009764E2"/>
    <w:rsid w:val="009807A3"/>
    <w:rsid w:val="00981F82"/>
    <w:rsid w:val="009919AA"/>
    <w:rsid w:val="009C6169"/>
    <w:rsid w:val="009C68AF"/>
    <w:rsid w:val="009D14B1"/>
    <w:rsid w:val="009D2954"/>
    <w:rsid w:val="009E0735"/>
    <w:rsid w:val="009E172D"/>
    <w:rsid w:val="009E4157"/>
    <w:rsid w:val="009F29B1"/>
    <w:rsid w:val="009F7ABA"/>
    <w:rsid w:val="009F7F68"/>
    <w:rsid w:val="00A006AA"/>
    <w:rsid w:val="00A03806"/>
    <w:rsid w:val="00A0474A"/>
    <w:rsid w:val="00A130EF"/>
    <w:rsid w:val="00A22E77"/>
    <w:rsid w:val="00A249B9"/>
    <w:rsid w:val="00A31D3E"/>
    <w:rsid w:val="00A3542F"/>
    <w:rsid w:val="00A40E1E"/>
    <w:rsid w:val="00A508FF"/>
    <w:rsid w:val="00A54469"/>
    <w:rsid w:val="00A61E99"/>
    <w:rsid w:val="00A647A5"/>
    <w:rsid w:val="00A71FC3"/>
    <w:rsid w:val="00A74A7B"/>
    <w:rsid w:val="00A822F5"/>
    <w:rsid w:val="00A87AA5"/>
    <w:rsid w:val="00A87CE3"/>
    <w:rsid w:val="00A94FBE"/>
    <w:rsid w:val="00A971E6"/>
    <w:rsid w:val="00A97FC2"/>
    <w:rsid w:val="00AA077E"/>
    <w:rsid w:val="00AA5B73"/>
    <w:rsid w:val="00AC3330"/>
    <w:rsid w:val="00AC4031"/>
    <w:rsid w:val="00AD3A73"/>
    <w:rsid w:val="00AF3F99"/>
    <w:rsid w:val="00B145F0"/>
    <w:rsid w:val="00B25821"/>
    <w:rsid w:val="00B3471F"/>
    <w:rsid w:val="00B3483E"/>
    <w:rsid w:val="00B41FFA"/>
    <w:rsid w:val="00B444A3"/>
    <w:rsid w:val="00B568F3"/>
    <w:rsid w:val="00B57EF1"/>
    <w:rsid w:val="00B63317"/>
    <w:rsid w:val="00B65354"/>
    <w:rsid w:val="00B6752C"/>
    <w:rsid w:val="00B70029"/>
    <w:rsid w:val="00B76E9F"/>
    <w:rsid w:val="00B8626B"/>
    <w:rsid w:val="00B975EF"/>
    <w:rsid w:val="00BA4F29"/>
    <w:rsid w:val="00BB0FE6"/>
    <w:rsid w:val="00BB2C5D"/>
    <w:rsid w:val="00BB688C"/>
    <w:rsid w:val="00BD77BC"/>
    <w:rsid w:val="00BE0067"/>
    <w:rsid w:val="00BE51E0"/>
    <w:rsid w:val="00BE560B"/>
    <w:rsid w:val="00C01E2C"/>
    <w:rsid w:val="00C03D03"/>
    <w:rsid w:val="00C10110"/>
    <w:rsid w:val="00C12D8F"/>
    <w:rsid w:val="00C132BA"/>
    <w:rsid w:val="00C17EB8"/>
    <w:rsid w:val="00C20A12"/>
    <w:rsid w:val="00C20C68"/>
    <w:rsid w:val="00C212E2"/>
    <w:rsid w:val="00C3554C"/>
    <w:rsid w:val="00C36E60"/>
    <w:rsid w:val="00C429F2"/>
    <w:rsid w:val="00C47BE4"/>
    <w:rsid w:val="00C50AA2"/>
    <w:rsid w:val="00C60873"/>
    <w:rsid w:val="00C84703"/>
    <w:rsid w:val="00C931B3"/>
    <w:rsid w:val="00C979BD"/>
    <w:rsid w:val="00CA1C95"/>
    <w:rsid w:val="00CD36E9"/>
    <w:rsid w:val="00CE18DD"/>
    <w:rsid w:val="00CE323A"/>
    <w:rsid w:val="00CF3D28"/>
    <w:rsid w:val="00D04825"/>
    <w:rsid w:val="00D12D4A"/>
    <w:rsid w:val="00D14709"/>
    <w:rsid w:val="00D2240A"/>
    <w:rsid w:val="00D2357C"/>
    <w:rsid w:val="00D30E69"/>
    <w:rsid w:val="00D34F43"/>
    <w:rsid w:val="00D35473"/>
    <w:rsid w:val="00D35BCC"/>
    <w:rsid w:val="00D375A4"/>
    <w:rsid w:val="00D50A02"/>
    <w:rsid w:val="00D5798E"/>
    <w:rsid w:val="00D60D60"/>
    <w:rsid w:val="00D61CB5"/>
    <w:rsid w:val="00D6312F"/>
    <w:rsid w:val="00D66302"/>
    <w:rsid w:val="00D6634F"/>
    <w:rsid w:val="00D74B21"/>
    <w:rsid w:val="00D75847"/>
    <w:rsid w:val="00D94DF8"/>
    <w:rsid w:val="00DB3600"/>
    <w:rsid w:val="00DB3B8C"/>
    <w:rsid w:val="00DB596E"/>
    <w:rsid w:val="00DB7F0C"/>
    <w:rsid w:val="00DC3474"/>
    <w:rsid w:val="00DE4464"/>
    <w:rsid w:val="00DF7977"/>
    <w:rsid w:val="00E04A1A"/>
    <w:rsid w:val="00E120EE"/>
    <w:rsid w:val="00E260EF"/>
    <w:rsid w:val="00E36677"/>
    <w:rsid w:val="00E40D8B"/>
    <w:rsid w:val="00E41A6E"/>
    <w:rsid w:val="00E573B9"/>
    <w:rsid w:val="00E679E7"/>
    <w:rsid w:val="00E77B49"/>
    <w:rsid w:val="00E83976"/>
    <w:rsid w:val="00E86429"/>
    <w:rsid w:val="00E95E3D"/>
    <w:rsid w:val="00E962C5"/>
    <w:rsid w:val="00E96738"/>
    <w:rsid w:val="00E96BA5"/>
    <w:rsid w:val="00EA3184"/>
    <w:rsid w:val="00EA4F63"/>
    <w:rsid w:val="00EA70AE"/>
    <w:rsid w:val="00EB0FD9"/>
    <w:rsid w:val="00EB23AA"/>
    <w:rsid w:val="00EB4D3B"/>
    <w:rsid w:val="00EB6235"/>
    <w:rsid w:val="00EB6B15"/>
    <w:rsid w:val="00EC518D"/>
    <w:rsid w:val="00ED1014"/>
    <w:rsid w:val="00ED1387"/>
    <w:rsid w:val="00EE0B0A"/>
    <w:rsid w:val="00EE268C"/>
    <w:rsid w:val="00F018EA"/>
    <w:rsid w:val="00F05DF6"/>
    <w:rsid w:val="00F14341"/>
    <w:rsid w:val="00F15CB5"/>
    <w:rsid w:val="00F35898"/>
    <w:rsid w:val="00F43244"/>
    <w:rsid w:val="00F4348A"/>
    <w:rsid w:val="00F4376F"/>
    <w:rsid w:val="00F44931"/>
    <w:rsid w:val="00F4714B"/>
    <w:rsid w:val="00F61819"/>
    <w:rsid w:val="00F92B78"/>
    <w:rsid w:val="00F94509"/>
    <w:rsid w:val="00FA280F"/>
    <w:rsid w:val="00FB0A8D"/>
    <w:rsid w:val="00FB31F6"/>
    <w:rsid w:val="00FB3D1D"/>
    <w:rsid w:val="00FD2414"/>
    <w:rsid w:val="6214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段 Char Char"/>
    <w:basedOn w:val="6"/>
    <w:link w:val="8"/>
    <w:uiPriority w:val="0"/>
    <w:rPr>
      <w:rFonts w:ascii="宋体"/>
    </w:rPr>
  </w:style>
  <w:style w:type="paragraph" w:customStyle="1" w:styleId="8">
    <w:name w:val="段"/>
    <w:link w:val="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其他标准标志"/>
    <w:basedOn w:val="1"/>
    <w:uiPriority w:val="0"/>
    <w:pPr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1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3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封面标准号2"/>
    <w:uiPriority w:val="0"/>
    <w:pPr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5">
    <w:name w:val="段(正文）"/>
    <w:uiPriority w:val="0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p0"/>
    <w:basedOn w:val="1"/>
    <w:uiPriority w:val="0"/>
    <w:pPr>
      <w:widowControl/>
      <w:ind w:left="900" w:hanging="500"/>
    </w:pPr>
    <w:rPr>
      <w:kern w:val="0"/>
      <w:szCs w:val="21"/>
    </w:rPr>
  </w:style>
  <w:style w:type="paragraph" w:customStyle="1" w:styleId="20">
    <w:name w:val="p19"/>
    <w:basedOn w:val="1"/>
    <w:uiPriority w:val="0"/>
    <w:pPr>
      <w:widowControl/>
      <w:spacing w:line="680" w:lineRule="atLeast"/>
      <w:jc w:val="center"/>
    </w:pPr>
    <w:rPr>
      <w:rFonts w:hint="eastAsia" w:ascii="黑体" w:hAnsi="宋体" w:eastAsia="黑体"/>
      <w:kern w:val="0"/>
      <w:sz w:val="52"/>
      <w:szCs w:val="52"/>
    </w:rPr>
  </w:style>
  <w:style w:type="paragraph" w:customStyle="1" w:styleId="21">
    <w:name w:val="二级条标题"/>
    <w:basedOn w:val="22"/>
    <w:next w:val="8"/>
    <w:qFormat/>
    <w:uiPriority w:val="0"/>
    <w:pPr>
      <w:tabs>
        <w:tab w:val="left" w:pos="2880"/>
      </w:tabs>
      <w:ind w:left="2880"/>
      <w:outlineLvl w:val="3"/>
    </w:pPr>
  </w:style>
  <w:style w:type="paragraph" w:customStyle="1" w:styleId="22">
    <w:name w:val="一级条标题"/>
    <w:next w:val="8"/>
    <w:uiPriority w:val="0"/>
    <w:pPr>
      <w:tabs>
        <w:tab w:val="left" w:pos="2160"/>
      </w:tabs>
      <w:ind w:left="2160" w:hanging="72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p20"/>
    <w:basedOn w:val="1"/>
    <w:uiPriority w:val="0"/>
    <w:pPr>
      <w:widowControl/>
      <w:ind w:firstLine="420"/>
    </w:pPr>
    <w:rPr>
      <w:rFonts w:hint="eastAsia" w:ascii="宋体" w:hAnsi="宋体"/>
      <w:kern w:val="0"/>
      <w:szCs w:val="21"/>
    </w:rPr>
  </w:style>
  <w:style w:type="paragraph" w:customStyle="1" w:styleId="24">
    <w:name w:val="章标题"/>
    <w:next w:val="8"/>
    <w:uiPriority w:val="0"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p21"/>
    <w:basedOn w:val="1"/>
    <w:uiPriority w:val="0"/>
    <w:pPr>
      <w:widowControl/>
      <w:jc w:val="left"/>
    </w:pPr>
    <w:rPr>
      <w:kern w:val="0"/>
      <w:sz w:val="20"/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73D75-0C34-4645-91C5-A9540A678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430</Words>
  <Characters>2453</Characters>
  <Lines>20</Lines>
  <Paragraphs>5</Paragraphs>
  <TotalTime>600</TotalTime>
  <ScaleCrop>false</ScaleCrop>
  <LinksUpToDate>false</LinksUpToDate>
  <CharactersWithSpaces>2878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2017-03-14T01:24:00Z</dcterms:created>
  <dc:creator>Windows 用户</dc:creator>
  <cp:lastModifiedBy>A平安-张静</cp:lastModifiedBy>
  <dcterms:modified xsi:type="dcterms:W3CDTF">2019-12-03T04:06:17Z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