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239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14</w:t>
      </w:r>
    </w:p>
    <w:p w14:paraId="4E5EB78F">
      <w:pPr>
        <w:pStyle w:val="2"/>
        <w:rPr>
          <w:rFonts w:hint="default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46692F9B">
      <w:pPr>
        <w:pStyle w:val="2"/>
        <w:rPr>
          <w:rFonts w:hint="eastAsia"/>
        </w:rPr>
      </w:pPr>
    </w:p>
    <w:p w14:paraId="7E2C04D5">
      <w:pPr>
        <w:pStyle w:val="39"/>
        <w:spacing w:before="156" w:beforeLines="50" w:line="560" w:lineRule="exact"/>
        <w:ind w:left="2240" w:hanging="2240" w:hangingChars="700"/>
        <w:rPr>
          <w:rFonts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恶性肿瘤精准放疗减毒增效的关键技术创新与推广应用</w:t>
      </w:r>
    </w:p>
    <w:p w14:paraId="2119138F">
      <w:pPr>
        <w:pStyle w:val="39"/>
        <w:spacing w:before="156" w:beforeLines="50" w:line="560" w:lineRule="exact"/>
        <w:rPr>
          <w:rFonts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二、提名者：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贵州省卫生健康委员会</w:t>
      </w:r>
    </w:p>
    <w:p w14:paraId="3D306E4B">
      <w:pPr>
        <w:pStyle w:val="39"/>
        <w:spacing w:before="156" w:beforeLines="50" w:line="560" w:lineRule="exact"/>
        <w:rPr>
          <w:rFonts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三、主要知识产权和标准规范等目录</w:t>
      </w:r>
    </w:p>
    <w:tbl>
      <w:tblPr>
        <w:tblStyle w:val="1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5EF443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47863159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23617812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4029BB0B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国家</w:t>
            </w:r>
          </w:p>
          <w:p w14:paraId="223DA9FD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359B17C1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540CFD15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7B22141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证书编号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2AE9438A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75A79A14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22CD0F90">
            <w:pPr>
              <w:pStyle w:val="12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发明专利（标准）有效状态</w:t>
            </w:r>
          </w:p>
        </w:tc>
      </w:tr>
      <w:tr w14:paraId="4647E3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4D9FA04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56F49D3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Clinical and dosimetric characteristics of temporal lobe injury following intensity modulated radiotherapy of nasopharyngeal carcinoma</w:t>
            </w:r>
          </w:p>
        </w:tc>
        <w:tc>
          <w:tcPr>
            <w:tcW w:w="1022" w:type="dxa"/>
          </w:tcPr>
          <w:p w14:paraId="6C49524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4DF4086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Radiother Oncol. 2012 Sep;104(3):312-6. </w:t>
            </w:r>
          </w:p>
        </w:tc>
        <w:tc>
          <w:tcPr>
            <w:tcW w:w="992" w:type="dxa"/>
          </w:tcPr>
          <w:p w14:paraId="45021F7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2012年8月1日</w:t>
            </w:r>
          </w:p>
        </w:tc>
        <w:tc>
          <w:tcPr>
            <w:tcW w:w="1134" w:type="dxa"/>
          </w:tcPr>
          <w:p w14:paraId="24A12DB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 10.1016/j.radonc.2012.06.012. </w:t>
            </w:r>
          </w:p>
        </w:tc>
        <w:tc>
          <w:tcPr>
            <w:tcW w:w="850" w:type="dxa"/>
          </w:tcPr>
          <w:p w14:paraId="6AA530C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7A66907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0FC08B5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0575E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7BD4497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2407A7F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Analysis of dosimetric factors associated with temporal lobe necrosis (TLN) in patients with nasopharyngeal carcinoma (NPC) after intensity modulated radiotherapy</w:t>
            </w:r>
          </w:p>
        </w:tc>
        <w:tc>
          <w:tcPr>
            <w:tcW w:w="1022" w:type="dxa"/>
          </w:tcPr>
          <w:p w14:paraId="0B6B05C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1F3BA72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 Radiat Oncol. 2013 Jan 22;8:17. </w:t>
            </w:r>
          </w:p>
        </w:tc>
        <w:tc>
          <w:tcPr>
            <w:tcW w:w="992" w:type="dxa"/>
          </w:tcPr>
          <w:p w14:paraId="763B6C1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2013年1月22日</w:t>
            </w:r>
          </w:p>
        </w:tc>
        <w:tc>
          <w:tcPr>
            <w:tcW w:w="1134" w:type="dxa"/>
          </w:tcPr>
          <w:p w14:paraId="6D6EC4B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 10.1186/1748-717X-8-17.</w:t>
            </w:r>
          </w:p>
        </w:tc>
        <w:tc>
          <w:tcPr>
            <w:tcW w:w="850" w:type="dxa"/>
          </w:tcPr>
          <w:p w14:paraId="69E928E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0ABAF4D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4268DC8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79114C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45E8813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1558A77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Long-Term Outcomes of Early-Stage Nasopharyngeal Carcinoma Patients Treated With Intensity-Modulated Radiotherapy Alone</w:t>
            </w:r>
          </w:p>
        </w:tc>
        <w:tc>
          <w:tcPr>
            <w:tcW w:w="1022" w:type="dxa"/>
          </w:tcPr>
          <w:p w14:paraId="2683AB7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6281BB4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Int J Radiat Oncol Biol Phys. 2012 Jan 1;82(1):327-33. </w:t>
            </w:r>
          </w:p>
        </w:tc>
        <w:tc>
          <w:tcPr>
            <w:tcW w:w="992" w:type="dxa"/>
          </w:tcPr>
          <w:p w14:paraId="37589ED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2012年1月1日</w:t>
            </w:r>
          </w:p>
        </w:tc>
        <w:tc>
          <w:tcPr>
            <w:tcW w:w="1134" w:type="dxa"/>
          </w:tcPr>
          <w:p w14:paraId="494322E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 10.1016/j.ijrobp.2010.09.011.</w:t>
            </w:r>
          </w:p>
        </w:tc>
        <w:tc>
          <w:tcPr>
            <w:tcW w:w="850" w:type="dxa"/>
          </w:tcPr>
          <w:p w14:paraId="0F5A6C6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6966D05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3254E72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2D49FA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6A903A5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7B57F5C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Simultaneous integrated boost of intensity-modulated radiation therapy to Stage II-III non-small cell lung cancer with metastatic lymph nodes</w:t>
            </w:r>
          </w:p>
        </w:tc>
        <w:tc>
          <w:tcPr>
            <w:tcW w:w="1022" w:type="dxa"/>
          </w:tcPr>
          <w:p w14:paraId="60E6799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77E2626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Cancer Med. 2020 Nov;9(22):8364-8372. </w:t>
            </w:r>
          </w:p>
        </w:tc>
        <w:tc>
          <w:tcPr>
            <w:tcW w:w="992" w:type="dxa"/>
          </w:tcPr>
          <w:p w14:paraId="69A30D5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2020年9月9日</w:t>
            </w:r>
          </w:p>
        </w:tc>
        <w:tc>
          <w:tcPr>
            <w:tcW w:w="1134" w:type="dxa"/>
          </w:tcPr>
          <w:p w14:paraId="3F72590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 10.1002/cam4.3446. </w:t>
            </w:r>
          </w:p>
        </w:tc>
        <w:tc>
          <w:tcPr>
            <w:tcW w:w="850" w:type="dxa"/>
          </w:tcPr>
          <w:p w14:paraId="3C010AF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5B2D55F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73C34A2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16CD9C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0E4B430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0301F9E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Effect of Abdominal Circumference on the Irradiated Bowel Volume in Pelvic Radiotherapy for Rectal Cancer PatientsImplications for the Radiotherapy-Related Intestinal Toxicity</w:t>
            </w:r>
          </w:p>
        </w:tc>
        <w:tc>
          <w:tcPr>
            <w:tcW w:w="1022" w:type="dxa"/>
          </w:tcPr>
          <w:p w14:paraId="67B7F34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75C46B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Front Oncol. 2022 Feb 23;12:843704. </w:t>
            </w:r>
          </w:p>
        </w:tc>
        <w:tc>
          <w:tcPr>
            <w:tcW w:w="992" w:type="dxa"/>
          </w:tcPr>
          <w:p w14:paraId="76AC885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2022年2月23日</w:t>
            </w:r>
          </w:p>
        </w:tc>
        <w:tc>
          <w:tcPr>
            <w:tcW w:w="1134" w:type="dxa"/>
          </w:tcPr>
          <w:p w14:paraId="5859AEF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:10.3389/fonc.2022.843704. </w:t>
            </w:r>
          </w:p>
        </w:tc>
        <w:tc>
          <w:tcPr>
            <w:tcW w:w="850" w:type="dxa"/>
          </w:tcPr>
          <w:p w14:paraId="224343D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63A864A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0BDD355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137CE1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08AD9A9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3D529A0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The Effect of PD-1 Inhibitor Combined with Irradiation on HMGB1-Associated Inflammatory Cytokines and Myocardial Injury</w:t>
            </w:r>
          </w:p>
        </w:tc>
        <w:tc>
          <w:tcPr>
            <w:tcW w:w="1022" w:type="dxa"/>
          </w:tcPr>
          <w:p w14:paraId="25ABBA0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65F5D36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J Inflamm Res. 2022 Nov 18;15:6357-6371. </w:t>
            </w:r>
          </w:p>
        </w:tc>
        <w:tc>
          <w:tcPr>
            <w:tcW w:w="992" w:type="dxa"/>
          </w:tcPr>
          <w:p w14:paraId="4DB11C8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2022年11月18日</w:t>
            </w:r>
          </w:p>
        </w:tc>
        <w:tc>
          <w:tcPr>
            <w:tcW w:w="1134" w:type="dxa"/>
          </w:tcPr>
          <w:p w14:paraId="5E35E2D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:10.2147/JIR.S384279.</w:t>
            </w:r>
          </w:p>
        </w:tc>
        <w:tc>
          <w:tcPr>
            <w:tcW w:w="850" w:type="dxa"/>
          </w:tcPr>
          <w:p w14:paraId="30DD88E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381A5E2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47CAC3E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052773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52E67E4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7AF9543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Preliminary results of randomized phase II study of etoposide plus lobaplatin or etoposide plus cisplatin with concurrent thoracic radiotherapy in the treatment of limited-stage small cell lung cancer.</w:t>
            </w:r>
          </w:p>
        </w:tc>
        <w:tc>
          <w:tcPr>
            <w:tcW w:w="1022" w:type="dxa"/>
          </w:tcPr>
          <w:p w14:paraId="1704C99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35F48ED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Anticancer Drugs. 2023 Nov 1;34(10):1183-1189. </w:t>
            </w:r>
          </w:p>
        </w:tc>
        <w:tc>
          <w:tcPr>
            <w:tcW w:w="992" w:type="dxa"/>
          </w:tcPr>
          <w:p w14:paraId="1695F28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2023年11月</w:t>
            </w:r>
          </w:p>
        </w:tc>
        <w:tc>
          <w:tcPr>
            <w:tcW w:w="1134" w:type="dxa"/>
          </w:tcPr>
          <w:p w14:paraId="7C07FE2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:10.1097/CAD.0000000000001501. </w:t>
            </w:r>
          </w:p>
        </w:tc>
        <w:tc>
          <w:tcPr>
            <w:tcW w:w="850" w:type="dxa"/>
          </w:tcPr>
          <w:p w14:paraId="7B57CAB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415A603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4A86574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7FC240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35B2BDE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2BAA402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The effect of primary tumor radiotherapy in patients with Unresectable stage IV Rectal or Rectosigmoid Cancera propensity score matching analysis for survival</w:t>
            </w:r>
          </w:p>
        </w:tc>
        <w:tc>
          <w:tcPr>
            <w:tcW w:w="1022" w:type="dxa"/>
          </w:tcPr>
          <w:p w14:paraId="02807F0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706947A3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Radiat Oncol. 2020 May 27;15(1):126. </w:t>
            </w:r>
          </w:p>
        </w:tc>
        <w:tc>
          <w:tcPr>
            <w:tcW w:w="992" w:type="dxa"/>
          </w:tcPr>
          <w:p w14:paraId="1482CE0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2022年5月27日</w:t>
            </w:r>
          </w:p>
        </w:tc>
        <w:tc>
          <w:tcPr>
            <w:tcW w:w="1134" w:type="dxa"/>
          </w:tcPr>
          <w:p w14:paraId="22C2B6F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:10.1186/s13014-020-01574-8.</w:t>
            </w:r>
          </w:p>
        </w:tc>
        <w:tc>
          <w:tcPr>
            <w:tcW w:w="850" w:type="dxa"/>
          </w:tcPr>
          <w:p w14:paraId="7977CAA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653B438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72C3802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369112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0AC18C0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论文</w:t>
            </w:r>
          </w:p>
        </w:tc>
        <w:tc>
          <w:tcPr>
            <w:tcW w:w="1260" w:type="dxa"/>
          </w:tcPr>
          <w:p w14:paraId="1F557F0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Pemetrexed plus cisplatin versus docetaxel plus cisplatin for stage IV lung adenocarcinoma based on propensity score matching</w:t>
            </w:r>
          </w:p>
        </w:tc>
        <w:tc>
          <w:tcPr>
            <w:tcW w:w="1022" w:type="dxa"/>
          </w:tcPr>
          <w:p w14:paraId="56D7F25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7036853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Anticancer Drugs. 2019 Mar;30(3):295-301.</w:t>
            </w:r>
          </w:p>
        </w:tc>
        <w:tc>
          <w:tcPr>
            <w:tcW w:w="992" w:type="dxa"/>
          </w:tcPr>
          <w:p w14:paraId="68832DA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2019年3月15日</w:t>
            </w:r>
          </w:p>
        </w:tc>
        <w:tc>
          <w:tcPr>
            <w:tcW w:w="1134" w:type="dxa"/>
          </w:tcPr>
          <w:p w14:paraId="65EDF23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  <w:lang w:val="en-US" w:eastAsia="zh-CN"/>
              </w:rPr>
              <w:t>DOI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12121"/>
                <w:spacing w:val="0"/>
                <w:sz w:val="21"/>
                <w:szCs w:val="21"/>
                <w:shd w:val="clear" w:fill="FFFFFF"/>
              </w:rPr>
              <w:t>: 10.1097/CAD.0000000000000729. </w:t>
            </w:r>
          </w:p>
        </w:tc>
        <w:tc>
          <w:tcPr>
            <w:tcW w:w="850" w:type="dxa"/>
          </w:tcPr>
          <w:p w14:paraId="63F4833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4FB133E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83" w:type="dxa"/>
          </w:tcPr>
          <w:p w14:paraId="5CC2343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  <w:tr w14:paraId="011528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 w14:paraId="6297BAF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发明专利</w:t>
            </w:r>
          </w:p>
        </w:tc>
        <w:tc>
          <w:tcPr>
            <w:tcW w:w="1260" w:type="dxa"/>
          </w:tcPr>
          <w:p w14:paraId="4610C98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一种用于放射治疗多功能手部固定器</w:t>
            </w:r>
          </w:p>
        </w:tc>
        <w:tc>
          <w:tcPr>
            <w:tcW w:w="1022" w:type="dxa"/>
          </w:tcPr>
          <w:p w14:paraId="090E5D3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中国</w:t>
            </w:r>
          </w:p>
        </w:tc>
        <w:tc>
          <w:tcPr>
            <w:tcW w:w="849" w:type="dxa"/>
            <w:vAlign w:val="top"/>
          </w:tcPr>
          <w:p w14:paraId="35778B2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CN114129911B</w:t>
            </w:r>
          </w:p>
        </w:tc>
        <w:tc>
          <w:tcPr>
            <w:tcW w:w="992" w:type="dxa"/>
          </w:tcPr>
          <w:p w14:paraId="42ADA22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2023年05月23日</w:t>
            </w:r>
          </w:p>
        </w:tc>
        <w:tc>
          <w:tcPr>
            <w:tcW w:w="1134" w:type="dxa"/>
          </w:tcPr>
          <w:p w14:paraId="7C59592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ZL 2021 1 1414450.1</w:t>
            </w:r>
          </w:p>
        </w:tc>
        <w:tc>
          <w:tcPr>
            <w:tcW w:w="850" w:type="dxa"/>
          </w:tcPr>
          <w:p w14:paraId="395A7D9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贵州医科大学附属医院</w:t>
            </w:r>
          </w:p>
        </w:tc>
        <w:tc>
          <w:tcPr>
            <w:tcW w:w="851" w:type="dxa"/>
          </w:tcPr>
          <w:p w14:paraId="701C909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胡银祥</w:t>
            </w:r>
          </w:p>
        </w:tc>
        <w:tc>
          <w:tcPr>
            <w:tcW w:w="1183" w:type="dxa"/>
          </w:tcPr>
          <w:p w14:paraId="16ACCDC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有效</w:t>
            </w:r>
          </w:p>
        </w:tc>
      </w:tr>
    </w:tbl>
    <w:p w14:paraId="2AE99288">
      <w:pPr>
        <w:pStyle w:val="39"/>
        <w:spacing w:before="156" w:beforeLines="50" w:line="560" w:lineRule="exact"/>
        <w:ind w:left="2560" w:hanging="2560" w:hangingChars="800"/>
        <w:rPr>
          <w:rFonts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四、主要完成人：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苏胜发、耿一超、王刚、李凤虎、胡银祥、李青松、赵朝</w:t>
      </w:r>
      <w:bookmarkStart w:id="0" w:name="_GoBack"/>
      <w:bookmarkEnd w:id="0"/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芬</w:t>
      </w:r>
    </w:p>
    <w:p w14:paraId="67A04730">
      <w:pPr>
        <w:pStyle w:val="39"/>
        <w:spacing w:before="156" w:beforeLines="50" w:line="560" w:lineRule="exact"/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五、主要完成单位：</w:t>
      </w:r>
      <w:r>
        <w:rPr>
          <w:rFonts w:hint="eastAsia" w:ascii="仿宋_GB2312" w:hAnsi="黑体" w:eastAsia="仿宋_GB2312" w:cs="Times New Roman"/>
          <w:color w:val="auto"/>
          <w:kern w:val="2"/>
          <w:sz w:val="32"/>
          <w:szCs w:val="32"/>
        </w:rPr>
        <w:t>贵州医科大学附属医院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9F"/>
    <w:rsid w:val="00045BDF"/>
    <w:rsid w:val="000736A9"/>
    <w:rsid w:val="00074264"/>
    <w:rsid w:val="000F4006"/>
    <w:rsid w:val="001052FB"/>
    <w:rsid w:val="00111296"/>
    <w:rsid w:val="001400F7"/>
    <w:rsid w:val="00177537"/>
    <w:rsid w:val="002841F1"/>
    <w:rsid w:val="002D4E7D"/>
    <w:rsid w:val="002F5C65"/>
    <w:rsid w:val="00311058"/>
    <w:rsid w:val="00321E0C"/>
    <w:rsid w:val="00375E34"/>
    <w:rsid w:val="003D1E27"/>
    <w:rsid w:val="004A2BF1"/>
    <w:rsid w:val="00511279"/>
    <w:rsid w:val="00525F5D"/>
    <w:rsid w:val="00572F6F"/>
    <w:rsid w:val="00575592"/>
    <w:rsid w:val="0061224C"/>
    <w:rsid w:val="00633575"/>
    <w:rsid w:val="00660449"/>
    <w:rsid w:val="00793A21"/>
    <w:rsid w:val="007B2D04"/>
    <w:rsid w:val="008078C8"/>
    <w:rsid w:val="00813BC7"/>
    <w:rsid w:val="00827D44"/>
    <w:rsid w:val="0083449A"/>
    <w:rsid w:val="00851A23"/>
    <w:rsid w:val="00913DF5"/>
    <w:rsid w:val="00932C7A"/>
    <w:rsid w:val="0095058E"/>
    <w:rsid w:val="009A46F9"/>
    <w:rsid w:val="009F669F"/>
    <w:rsid w:val="009F68AB"/>
    <w:rsid w:val="00A52274"/>
    <w:rsid w:val="00B9131A"/>
    <w:rsid w:val="00BF3D18"/>
    <w:rsid w:val="00C43AD6"/>
    <w:rsid w:val="00C833E4"/>
    <w:rsid w:val="00CA5122"/>
    <w:rsid w:val="00CB4282"/>
    <w:rsid w:val="00D030A9"/>
    <w:rsid w:val="00D111CA"/>
    <w:rsid w:val="00D301B7"/>
    <w:rsid w:val="00D5519E"/>
    <w:rsid w:val="00E37070"/>
    <w:rsid w:val="00E777C5"/>
    <w:rsid w:val="00EB123C"/>
    <w:rsid w:val="00EE1DF7"/>
    <w:rsid w:val="00F314C3"/>
    <w:rsid w:val="058C6C97"/>
    <w:rsid w:val="0DC570D5"/>
    <w:rsid w:val="19E948A5"/>
    <w:rsid w:val="1AD078F1"/>
    <w:rsid w:val="39BB6D43"/>
    <w:rsid w:val="45D93876"/>
    <w:rsid w:val="71825001"/>
    <w:rsid w:val="72A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0"/>
    <w:semiHidden/>
    <w:unhideWhenUsed/>
    <w:qFormat/>
    <w:uiPriority w:val="99"/>
    <w:pPr>
      <w:spacing w:after="120"/>
    </w:pPr>
  </w:style>
  <w:style w:type="paragraph" w:styleId="12">
    <w:name w:val="Plain Text"/>
    <w:basedOn w:val="1"/>
    <w:link w:val="4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3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4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5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8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3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正文文本 字符"/>
    <w:basedOn w:val="18"/>
    <w:link w:val="2"/>
    <w:semiHidden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1">
    <w:name w:val="纯文本 字符"/>
    <w:basedOn w:val="18"/>
    <w:link w:val="12"/>
    <w:qFormat/>
    <w:uiPriority w:val="0"/>
    <w:rPr>
      <w:rFonts w:ascii="仿宋_GB2312" w:hAnsi="Times New Roman" w:eastAsia="宋体" w:cs="Times New Roman"/>
      <w:sz w:val="24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701</Words>
  <Characters>2299</Characters>
  <Lines>14</Lines>
  <Paragraphs>4</Paragraphs>
  <TotalTime>0</TotalTime>
  <ScaleCrop>false</ScaleCrop>
  <LinksUpToDate>false</LinksUpToDate>
  <CharactersWithSpaces>2518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2025-12-29T04:03:00Z</dcterms:created>
  <dcterms:modified xsi:type="dcterms:W3CDTF">2026-01-30T09:19:25Z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B619FBE95437445FA5D6894869D3AA40_13</vt:lpwstr>
  </property>
  <property fmtid="{D5CDD505-2E9C-101B-9397-08002B2CF9AE}" pid="4" name="KSOTemplateDocerSaveRecord">
    <vt:lpwstr>eyJoZGlkIjoiYzA0YTAzYTkyNmM5NzU3ZGIyYWRiODVkZmJjYTYzZmEiLCJ1c2VySWQiOiI3NzIyNTI5NzkifQ==</vt:lpwstr>
  </property>
</Properties>
</file>