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C88AE">
      <w:pPr>
        <w:jc w:val="left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  <w:t>11</w:t>
      </w:r>
    </w:p>
    <w:p w14:paraId="6471997C">
      <w:pPr>
        <w:pStyle w:val="2"/>
        <w:rPr>
          <w:rFonts w:hint="default"/>
          <w:lang w:val="en-US" w:eastAsia="zh-CN"/>
        </w:rPr>
      </w:pPr>
    </w:p>
    <w:p w14:paraId="0CD41A54"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2025年度省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科学技术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进步奖提名公示</w:t>
      </w:r>
    </w:p>
    <w:p w14:paraId="00706D62">
      <w:pPr>
        <w:spacing w:line="400" w:lineRule="exact"/>
        <w:rPr>
          <w:rFonts w:hint="eastAsia" w:ascii="仿宋" w:hAnsi="仿宋" w:eastAsia="仿宋"/>
          <w:b/>
          <w:bCs/>
          <w:szCs w:val="28"/>
        </w:rPr>
      </w:pPr>
    </w:p>
    <w:p w14:paraId="63A904B8">
      <w:pPr>
        <w:spacing w:line="560" w:lineRule="exact"/>
        <w:ind w:left="2240" w:hanging="2240" w:hangingChars="700"/>
        <w:rPr>
          <w:rFonts w:hint="eastAsia" w:ascii="仿宋_GB2312" w:hAnsi="宋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一、项目名称：</w:t>
      </w:r>
      <w:r>
        <w:rPr>
          <w:rFonts w:hint="eastAsia" w:ascii="仿宋_GB2312" w:hAnsi="宋体"/>
          <w:sz w:val="32"/>
          <w:szCs w:val="32"/>
        </w:rPr>
        <w:t>地中海贫血精准防控新技术体系建立与推广应用</w:t>
      </w:r>
    </w:p>
    <w:p w14:paraId="58B0BD84">
      <w:pPr>
        <w:spacing w:line="560" w:lineRule="exact"/>
        <w:rPr>
          <w:rFonts w:hint="eastAsia" w:ascii="仿宋_GB2312" w:hAnsi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二、提名单位：</w:t>
      </w:r>
      <w:r>
        <w:rPr>
          <w:rFonts w:hint="eastAsia" w:ascii="仿宋_GB2312" w:hAnsi="仿宋"/>
          <w:sz w:val="32"/>
          <w:szCs w:val="32"/>
        </w:rPr>
        <w:t>贵州省卫生健康委员会</w:t>
      </w:r>
    </w:p>
    <w:p w14:paraId="06C25203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三、主要知识产权和标准规范等目录</w:t>
      </w:r>
    </w:p>
    <w:tbl>
      <w:tblPr>
        <w:tblStyle w:val="7"/>
        <w:tblW w:w="1004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58"/>
        <w:gridCol w:w="1964"/>
        <w:gridCol w:w="780"/>
        <w:gridCol w:w="975"/>
        <w:gridCol w:w="975"/>
        <w:gridCol w:w="1245"/>
        <w:gridCol w:w="1215"/>
        <w:gridCol w:w="1121"/>
        <w:gridCol w:w="810"/>
      </w:tblGrid>
      <w:tr w14:paraId="3ED07B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958" w:type="dxa"/>
            <w:vAlign w:val="center"/>
          </w:tcPr>
          <w:p w14:paraId="553D3BE0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知识产权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（标准）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类别</w:t>
            </w:r>
          </w:p>
        </w:tc>
        <w:tc>
          <w:tcPr>
            <w:tcW w:w="1964" w:type="dxa"/>
            <w:vAlign w:val="center"/>
          </w:tcPr>
          <w:p w14:paraId="58AF6553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知识产权（标准）具体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名称</w:t>
            </w:r>
          </w:p>
        </w:tc>
        <w:tc>
          <w:tcPr>
            <w:tcW w:w="780" w:type="dxa"/>
            <w:vAlign w:val="center"/>
          </w:tcPr>
          <w:p w14:paraId="421226E2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国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家</w:t>
            </w:r>
          </w:p>
          <w:p w14:paraId="69AD8575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地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区）</w:t>
            </w:r>
          </w:p>
        </w:tc>
        <w:tc>
          <w:tcPr>
            <w:tcW w:w="975" w:type="dxa"/>
            <w:vAlign w:val="center"/>
          </w:tcPr>
          <w:p w14:paraId="6EBD3FE8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授权号（标准编号）</w:t>
            </w:r>
          </w:p>
        </w:tc>
        <w:tc>
          <w:tcPr>
            <w:tcW w:w="975" w:type="dxa"/>
            <w:vAlign w:val="center"/>
          </w:tcPr>
          <w:p w14:paraId="382CA4C6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授权（标准发布）日期</w:t>
            </w:r>
          </w:p>
        </w:tc>
        <w:tc>
          <w:tcPr>
            <w:tcW w:w="1245" w:type="dxa"/>
            <w:vAlign w:val="center"/>
          </w:tcPr>
          <w:p w14:paraId="35C1ADB4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证书编号（标准批准发布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部门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）</w:t>
            </w:r>
          </w:p>
        </w:tc>
        <w:tc>
          <w:tcPr>
            <w:tcW w:w="1215" w:type="dxa"/>
            <w:vAlign w:val="center"/>
          </w:tcPr>
          <w:p w14:paraId="07076708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权利人（标准起草单位）</w:t>
            </w:r>
          </w:p>
        </w:tc>
        <w:tc>
          <w:tcPr>
            <w:tcW w:w="1121" w:type="dxa"/>
            <w:vAlign w:val="center"/>
          </w:tcPr>
          <w:p w14:paraId="23C15BF6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发明人（标准起草人）</w:t>
            </w:r>
          </w:p>
        </w:tc>
        <w:tc>
          <w:tcPr>
            <w:tcW w:w="810" w:type="dxa"/>
            <w:vAlign w:val="center"/>
          </w:tcPr>
          <w:p w14:paraId="04B03A57">
            <w:pPr>
              <w:spacing w:line="260" w:lineRule="exact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发明专利（标准）有效状态</w:t>
            </w:r>
          </w:p>
        </w:tc>
      </w:tr>
      <w:tr w14:paraId="6C3EF4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4582EF10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964" w:type="dxa"/>
            <w:vAlign w:val="center"/>
          </w:tcPr>
          <w:p w14:paraId="257CCBF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CRISPR/Cas9-based multiplex genome editing of BCL11A and HBG efficiently induces fetal hemoglobin expression</w:t>
            </w:r>
          </w:p>
        </w:tc>
        <w:tc>
          <w:tcPr>
            <w:tcW w:w="780" w:type="dxa"/>
            <w:vAlign w:val="center"/>
          </w:tcPr>
          <w:p w14:paraId="4AFF044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2DDB3CF0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75" w:type="dxa"/>
            <w:vAlign w:val="center"/>
          </w:tcPr>
          <w:p w14:paraId="17978FC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2022-03-05</w:t>
            </w:r>
          </w:p>
        </w:tc>
        <w:tc>
          <w:tcPr>
            <w:tcW w:w="1245" w:type="dxa"/>
            <w:vAlign w:val="center"/>
          </w:tcPr>
          <w:p w14:paraId="221014F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Eur J Pharmacol</w:t>
            </w:r>
          </w:p>
        </w:tc>
        <w:tc>
          <w:tcPr>
            <w:tcW w:w="1215" w:type="dxa"/>
            <w:vAlign w:val="center"/>
          </w:tcPr>
          <w:p w14:paraId="264674A6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黄盛文、刘娟、李頔</w:t>
            </w:r>
          </w:p>
        </w:tc>
        <w:tc>
          <w:tcPr>
            <w:tcW w:w="1121" w:type="dxa"/>
            <w:vAlign w:val="center"/>
          </w:tcPr>
          <w:p w14:paraId="08DF18D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黄盛文、刘娟、李頔</w:t>
            </w:r>
          </w:p>
        </w:tc>
        <w:tc>
          <w:tcPr>
            <w:tcW w:w="810" w:type="dxa"/>
            <w:vAlign w:val="center"/>
          </w:tcPr>
          <w:p w14:paraId="7E658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552C2C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7CBD25D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964" w:type="dxa"/>
            <w:vAlign w:val="center"/>
          </w:tcPr>
          <w:p w14:paraId="058D58F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Application of third-generation sequencing for genetic testing of thalassemia in Guizhou Province, Southwest China</w:t>
            </w:r>
          </w:p>
        </w:tc>
        <w:tc>
          <w:tcPr>
            <w:tcW w:w="780" w:type="dxa"/>
            <w:vAlign w:val="center"/>
          </w:tcPr>
          <w:p w14:paraId="5532A01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3BF0DB4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75" w:type="dxa"/>
            <w:vAlign w:val="center"/>
          </w:tcPr>
          <w:p w14:paraId="23639AF0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2022-12-07</w:t>
            </w:r>
          </w:p>
        </w:tc>
        <w:tc>
          <w:tcPr>
            <w:tcW w:w="1245" w:type="dxa"/>
            <w:vAlign w:val="center"/>
          </w:tcPr>
          <w:p w14:paraId="5E05C076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Hematology</w:t>
            </w:r>
          </w:p>
        </w:tc>
        <w:tc>
          <w:tcPr>
            <w:tcW w:w="1215" w:type="dxa"/>
            <w:vAlign w:val="center"/>
          </w:tcPr>
          <w:p w14:paraId="1B77876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黄盛文、吴江芬、毛爱平、李頔</w:t>
            </w:r>
          </w:p>
        </w:tc>
        <w:tc>
          <w:tcPr>
            <w:tcW w:w="1121" w:type="dxa"/>
            <w:vAlign w:val="center"/>
          </w:tcPr>
          <w:p w14:paraId="317ABA5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黄盛文、吴江芬、毛爱平、李頔</w:t>
            </w:r>
          </w:p>
        </w:tc>
        <w:tc>
          <w:tcPr>
            <w:tcW w:w="810" w:type="dxa"/>
            <w:vAlign w:val="center"/>
          </w:tcPr>
          <w:p w14:paraId="74F395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2A7D2B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62A47D5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964" w:type="dxa"/>
            <w:vAlign w:val="center"/>
          </w:tcPr>
          <w:p w14:paraId="1D0ECEA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A natural DNMT1 mutation elevates the fetal hemoglobin level via epigenetic derepression of the γ-globin gene in β-thalassemia</w:t>
            </w:r>
          </w:p>
        </w:tc>
        <w:tc>
          <w:tcPr>
            <w:tcW w:w="780" w:type="dxa"/>
            <w:vAlign w:val="center"/>
          </w:tcPr>
          <w:p w14:paraId="417130D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5A33C8F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75" w:type="dxa"/>
            <w:vAlign w:val="center"/>
          </w:tcPr>
          <w:p w14:paraId="6D361FE2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2021-3-25</w:t>
            </w:r>
          </w:p>
        </w:tc>
        <w:tc>
          <w:tcPr>
            <w:tcW w:w="1245" w:type="dxa"/>
            <w:vAlign w:val="center"/>
          </w:tcPr>
          <w:p w14:paraId="7F26AF74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Blood</w:t>
            </w:r>
          </w:p>
        </w:tc>
        <w:tc>
          <w:tcPr>
            <w:tcW w:w="1215" w:type="dxa"/>
            <w:vAlign w:val="center"/>
          </w:tcPr>
          <w:p w14:paraId="6646394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徐湘民、叶宇华</w:t>
            </w:r>
          </w:p>
        </w:tc>
        <w:tc>
          <w:tcPr>
            <w:tcW w:w="1121" w:type="dxa"/>
            <w:vAlign w:val="center"/>
          </w:tcPr>
          <w:p w14:paraId="7021307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徐湘民、叶宇华</w:t>
            </w:r>
          </w:p>
        </w:tc>
        <w:tc>
          <w:tcPr>
            <w:tcW w:w="810" w:type="dxa"/>
            <w:vAlign w:val="center"/>
          </w:tcPr>
          <w:p w14:paraId="697E2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10A372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7AE5F3A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964" w:type="dxa"/>
            <w:vAlign w:val="center"/>
          </w:tcPr>
          <w:p w14:paraId="0CD491C5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A Cell-free DNA Barcode-Enabled Single-Molecule Test for Noninvasive Prenatal Diagnosis of Monogenic Disorders: Application to β-Thalassemia</w:t>
            </w:r>
          </w:p>
        </w:tc>
        <w:tc>
          <w:tcPr>
            <w:tcW w:w="780" w:type="dxa"/>
            <w:vAlign w:val="center"/>
          </w:tcPr>
          <w:p w14:paraId="0271010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0DA7E7F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75" w:type="dxa"/>
            <w:vAlign w:val="center"/>
          </w:tcPr>
          <w:p w14:paraId="567829C7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2019-04-01</w:t>
            </w:r>
          </w:p>
        </w:tc>
        <w:tc>
          <w:tcPr>
            <w:tcW w:w="1245" w:type="dxa"/>
            <w:vAlign w:val="center"/>
          </w:tcPr>
          <w:p w14:paraId="47BBA91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Adv Sci</w:t>
            </w:r>
          </w:p>
        </w:tc>
        <w:tc>
          <w:tcPr>
            <w:tcW w:w="1215" w:type="dxa"/>
            <w:vAlign w:val="center"/>
          </w:tcPr>
          <w:p w14:paraId="29A9816F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徐湘民、周万军、叶宇华</w:t>
            </w:r>
          </w:p>
        </w:tc>
        <w:tc>
          <w:tcPr>
            <w:tcW w:w="1121" w:type="dxa"/>
            <w:vAlign w:val="center"/>
          </w:tcPr>
          <w:p w14:paraId="61583683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徐湘民、周万军、叶宇华</w:t>
            </w:r>
          </w:p>
        </w:tc>
        <w:tc>
          <w:tcPr>
            <w:tcW w:w="810" w:type="dxa"/>
            <w:vAlign w:val="center"/>
          </w:tcPr>
          <w:p w14:paraId="4A83A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56AAB0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52FC62C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964" w:type="dxa"/>
            <w:vAlign w:val="center"/>
          </w:tcPr>
          <w:p w14:paraId="44D6121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KLF1 mutations are relatively more common in a thalassemia endemic region and ameliorate the severity of β-thalassemia</w:t>
            </w:r>
          </w:p>
        </w:tc>
        <w:tc>
          <w:tcPr>
            <w:tcW w:w="780" w:type="dxa"/>
            <w:vAlign w:val="center"/>
          </w:tcPr>
          <w:p w14:paraId="339A6F44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295D9B8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75" w:type="dxa"/>
            <w:vAlign w:val="center"/>
          </w:tcPr>
          <w:p w14:paraId="30155430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2014-07-01</w:t>
            </w:r>
          </w:p>
        </w:tc>
        <w:tc>
          <w:tcPr>
            <w:tcW w:w="1245" w:type="dxa"/>
            <w:vAlign w:val="center"/>
          </w:tcPr>
          <w:p w14:paraId="34A2532D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Blood</w:t>
            </w:r>
          </w:p>
        </w:tc>
        <w:tc>
          <w:tcPr>
            <w:tcW w:w="1215" w:type="dxa"/>
            <w:vAlign w:val="center"/>
          </w:tcPr>
          <w:p w14:paraId="4AB1791F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徐湘民</w:t>
            </w:r>
          </w:p>
        </w:tc>
        <w:tc>
          <w:tcPr>
            <w:tcW w:w="1121" w:type="dxa"/>
            <w:vAlign w:val="center"/>
          </w:tcPr>
          <w:p w14:paraId="41F104B3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徐湘民</w:t>
            </w:r>
          </w:p>
        </w:tc>
        <w:tc>
          <w:tcPr>
            <w:tcW w:w="810" w:type="dxa"/>
            <w:vAlign w:val="center"/>
          </w:tcPr>
          <w:p w14:paraId="4E81D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6D015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07277820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964" w:type="dxa"/>
            <w:vAlign w:val="center"/>
          </w:tcPr>
          <w:p w14:paraId="7E8F018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Rapid genotyping of known mutations and polymorphisms in beta-globin gene based on the DHPLC profile patterns of homoduplexes and heteroduplexes</w:t>
            </w:r>
          </w:p>
        </w:tc>
        <w:tc>
          <w:tcPr>
            <w:tcW w:w="780" w:type="dxa"/>
            <w:vAlign w:val="center"/>
          </w:tcPr>
          <w:p w14:paraId="1A41ADB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5E601100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75" w:type="dxa"/>
            <w:vAlign w:val="center"/>
          </w:tcPr>
          <w:p w14:paraId="386E9C2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2008-06-01</w:t>
            </w:r>
          </w:p>
        </w:tc>
        <w:tc>
          <w:tcPr>
            <w:tcW w:w="1245" w:type="dxa"/>
            <w:vAlign w:val="center"/>
          </w:tcPr>
          <w:p w14:paraId="1B6C3BB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Clin Biochem</w:t>
            </w:r>
          </w:p>
        </w:tc>
        <w:tc>
          <w:tcPr>
            <w:tcW w:w="1215" w:type="dxa"/>
            <w:vAlign w:val="center"/>
          </w:tcPr>
          <w:p w14:paraId="3FBC139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黄盛文、徐湘民、周万军</w:t>
            </w:r>
          </w:p>
        </w:tc>
        <w:tc>
          <w:tcPr>
            <w:tcW w:w="1121" w:type="dxa"/>
            <w:vAlign w:val="center"/>
          </w:tcPr>
          <w:p w14:paraId="43CCF66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黄盛文、徐湘民、周万军</w:t>
            </w:r>
          </w:p>
        </w:tc>
        <w:tc>
          <w:tcPr>
            <w:tcW w:w="810" w:type="dxa"/>
            <w:vAlign w:val="center"/>
          </w:tcPr>
          <w:p w14:paraId="79AF5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4B8AE3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624DBC2F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964" w:type="dxa"/>
            <w:vAlign w:val="center"/>
          </w:tcPr>
          <w:p w14:paraId="29D50BE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Identification of a novel frameshift mutation at codon 53 (-T) in the beta-globin gene causing dominantly inherited beta-thalassemia in a Chinese Miao family</w:t>
            </w:r>
          </w:p>
        </w:tc>
        <w:tc>
          <w:tcPr>
            <w:tcW w:w="780" w:type="dxa"/>
            <w:vAlign w:val="center"/>
          </w:tcPr>
          <w:p w14:paraId="221D6E34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6E7B27E0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75" w:type="dxa"/>
            <w:vAlign w:val="center"/>
          </w:tcPr>
          <w:p w14:paraId="1AA024ED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2008-08-01</w:t>
            </w:r>
          </w:p>
        </w:tc>
        <w:tc>
          <w:tcPr>
            <w:tcW w:w="1245" w:type="dxa"/>
            <w:vAlign w:val="center"/>
          </w:tcPr>
          <w:p w14:paraId="45A0B44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Blood Cells Mol Dis</w:t>
            </w:r>
          </w:p>
        </w:tc>
        <w:tc>
          <w:tcPr>
            <w:tcW w:w="1215" w:type="dxa"/>
            <w:vAlign w:val="center"/>
          </w:tcPr>
          <w:p w14:paraId="03F5EF5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黄盛文、徐湘民</w:t>
            </w:r>
          </w:p>
        </w:tc>
        <w:tc>
          <w:tcPr>
            <w:tcW w:w="1121" w:type="dxa"/>
            <w:vAlign w:val="center"/>
          </w:tcPr>
          <w:p w14:paraId="4FB0B12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黄盛文、徐湘民</w:t>
            </w:r>
          </w:p>
        </w:tc>
        <w:tc>
          <w:tcPr>
            <w:tcW w:w="810" w:type="dxa"/>
            <w:vAlign w:val="center"/>
          </w:tcPr>
          <w:p w14:paraId="68D8853F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4CC7D4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7100EF4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964" w:type="dxa"/>
            <w:vAlign w:val="center"/>
          </w:tcPr>
          <w:p w14:paraId="1CFDBCE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同时检测HBA1/2和HBB基因位点多种突变的方法和试剂盒</w:t>
            </w:r>
          </w:p>
        </w:tc>
        <w:tc>
          <w:tcPr>
            <w:tcW w:w="780" w:type="dxa"/>
            <w:vAlign w:val="center"/>
          </w:tcPr>
          <w:p w14:paraId="25FBC860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7214BAF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ZL2021 1 0329821.X</w:t>
            </w:r>
          </w:p>
        </w:tc>
        <w:tc>
          <w:tcPr>
            <w:tcW w:w="975" w:type="dxa"/>
            <w:vAlign w:val="center"/>
          </w:tcPr>
          <w:p w14:paraId="3135D11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2021-06-29</w:t>
            </w:r>
          </w:p>
        </w:tc>
        <w:tc>
          <w:tcPr>
            <w:tcW w:w="1245" w:type="dxa"/>
            <w:vAlign w:val="center"/>
          </w:tcPr>
          <w:p w14:paraId="0AB5B783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4518759</w:t>
            </w:r>
          </w:p>
        </w:tc>
        <w:tc>
          <w:tcPr>
            <w:tcW w:w="1215" w:type="dxa"/>
            <w:vAlign w:val="center"/>
          </w:tcPr>
          <w:p w14:paraId="4619C826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毛爱平</w:t>
            </w:r>
          </w:p>
        </w:tc>
        <w:tc>
          <w:tcPr>
            <w:tcW w:w="1121" w:type="dxa"/>
            <w:vAlign w:val="center"/>
          </w:tcPr>
          <w:p w14:paraId="119D965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毛爱平</w:t>
            </w:r>
          </w:p>
        </w:tc>
        <w:tc>
          <w:tcPr>
            <w:tcW w:w="810" w:type="dxa"/>
            <w:vAlign w:val="center"/>
          </w:tcPr>
          <w:p w14:paraId="47C39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750ABE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2423D7AF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964" w:type="dxa"/>
            <w:vAlign w:val="center"/>
          </w:tcPr>
          <w:p w14:paraId="1E9DA5A4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一种检测地贫基因突变的试剂盒</w:t>
            </w:r>
          </w:p>
        </w:tc>
        <w:tc>
          <w:tcPr>
            <w:tcW w:w="780" w:type="dxa"/>
            <w:vAlign w:val="center"/>
          </w:tcPr>
          <w:p w14:paraId="3C1A77B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0854AE86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ZL2019 1 0866308.7</w:t>
            </w:r>
          </w:p>
        </w:tc>
        <w:tc>
          <w:tcPr>
            <w:tcW w:w="975" w:type="dxa"/>
            <w:vAlign w:val="center"/>
          </w:tcPr>
          <w:p w14:paraId="0A0B703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2021-03-16</w:t>
            </w:r>
          </w:p>
        </w:tc>
        <w:tc>
          <w:tcPr>
            <w:tcW w:w="1245" w:type="dxa"/>
            <w:vAlign w:val="center"/>
          </w:tcPr>
          <w:p w14:paraId="419199C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4302633</w:t>
            </w:r>
          </w:p>
        </w:tc>
        <w:tc>
          <w:tcPr>
            <w:tcW w:w="1215" w:type="dxa"/>
            <w:vAlign w:val="center"/>
          </w:tcPr>
          <w:p w14:paraId="6A16B21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周万军</w:t>
            </w:r>
          </w:p>
        </w:tc>
        <w:tc>
          <w:tcPr>
            <w:tcW w:w="1121" w:type="dxa"/>
            <w:vAlign w:val="center"/>
          </w:tcPr>
          <w:p w14:paraId="2A565947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周万军</w:t>
            </w:r>
          </w:p>
        </w:tc>
        <w:tc>
          <w:tcPr>
            <w:tcW w:w="810" w:type="dxa"/>
            <w:vAlign w:val="center"/>
          </w:tcPr>
          <w:p w14:paraId="66685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7A85A4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958" w:type="dxa"/>
            <w:vAlign w:val="center"/>
          </w:tcPr>
          <w:p w14:paraId="6CC737E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专著</w:t>
            </w:r>
          </w:p>
        </w:tc>
        <w:tc>
          <w:tcPr>
            <w:tcW w:w="1964" w:type="dxa"/>
            <w:vAlign w:val="center"/>
          </w:tcPr>
          <w:p w14:paraId="1DED6772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地中海贫血预防控制操作指南</w:t>
            </w:r>
          </w:p>
        </w:tc>
        <w:tc>
          <w:tcPr>
            <w:tcW w:w="780" w:type="dxa"/>
            <w:vAlign w:val="center"/>
          </w:tcPr>
          <w:p w14:paraId="04E3FF2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75" w:type="dxa"/>
            <w:vAlign w:val="center"/>
          </w:tcPr>
          <w:p w14:paraId="51E95415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75" w:type="dxa"/>
            <w:vAlign w:val="center"/>
          </w:tcPr>
          <w:p w14:paraId="709FE057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2011-03-01</w:t>
            </w:r>
          </w:p>
        </w:tc>
        <w:tc>
          <w:tcPr>
            <w:tcW w:w="1245" w:type="dxa"/>
            <w:vAlign w:val="center"/>
          </w:tcPr>
          <w:p w14:paraId="4D27EA33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人民军医出版 社</w:t>
            </w:r>
          </w:p>
        </w:tc>
        <w:tc>
          <w:tcPr>
            <w:tcW w:w="1215" w:type="dxa"/>
            <w:vAlign w:val="center"/>
          </w:tcPr>
          <w:p w14:paraId="22A953E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徐湘民</w:t>
            </w:r>
          </w:p>
        </w:tc>
        <w:tc>
          <w:tcPr>
            <w:tcW w:w="1121" w:type="dxa"/>
            <w:vAlign w:val="center"/>
          </w:tcPr>
          <w:p w14:paraId="1B1DD67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徐湘民</w:t>
            </w:r>
          </w:p>
        </w:tc>
        <w:tc>
          <w:tcPr>
            <w:tcW w:w="810" w:type="dxa"/>
            <w:vAlign w:val="center"/>
          </w:tcPr>
          <w:p w14:paraId="06588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有效</w:t>
            </w:r>
          </w:p>
        </w:tc>
      </w:tr>
    </w:tbl>
    <w:p w14:paraId="5921AC00">
      <w:pPr>
        <w:numPr>
          <w:ilvl w:val="0"/>
          <w:numId w:val="0"/>
        </w:numPr>
        <w:spacing w:line="560" w:lineRule="exact"/>
        <w:ind w:left="2560" w:hanging="2560" w:hangingChars="800"/>
        <w:rPr>
          <w:rFonts w:hint="eastAsia" w:ascii="仿宋_GB2312" w:hAnsi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/>
          <w:sz w:val="32"/>
          <w:szCs w:val="32"/>
        </w:rPr>
        <w:t>主要完成人：</w:t>
      </w:r>
      <w:r>
        <w:rPr>
          <w:rFonts w:hint="eastAsia" w:ascii="仿宋_GB2312" w:hAnsi="黑体"/>
          <w:sz w:val="32"/>
          <w:szCs w:val="32"/>
        </w:rPr>
        <w:t>黄盛文、徐湘民、商璇、周万军、刘娟、叶宇华、吴江芬、毛爱平、李頔</w:t>
      </w:r>
    </w:p>
    <w:p w14:paraId="5103836E">
      <w:pPr>
        <w:numPr>
          <w:ilvl w:val="0"/>
          <w:numId w:val="0"/>
        </w:numPr>
        <w:spacing w:line="560" w:lineRule="exact"/>
        <w:ind w:left="2560" w:hanging="2560" w:hangingChars="800"/>
        <w:rPr>
          <w:rFonts w:hint="eastAsia" w:ascii="仿宋_GB2312" w:hAnsi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五、主要完成单位：</w:t>
      </w:r>
      <w:r>
        <w:rPr>
          <w:rFonts w:hint="eastAsia" w:ascii="仿宋_GB2312" w:hAnsi="黑体"/>
          <w:sz w:val="32"/>
          <w:szCs w:val="32"/>
        </w:rPr>
        <w:t>贵州省人民医院、南方医科大学、北京贝瑞和康</w:t>
      </w:r>
      <w:bookmarkStart w:id="0" w:name="_GoBack"/>
      <w:bookmarkEnd w:id="0"/>
      <w:r>
        <w:rPr>
          <w:rFonts w:hint="eastAsia" w:ascii="仿宋_GB2312" w:hAnsi="黑体"/>
          <w:sz w:val="32"/>
          <w:szCs w:val="32"/>
        </w:rPr>
        <w:t>生物技术有限公司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CC"/>
    <w:rsid w:val="0000088B"/>
    <w:rsid w:val="00037F03"/>
    <w:rsid w:val="00053899"/>
    <w:rsid w:val="000552E9"/>
    <w:rsid w:val="00072667"/>
    <w:rsid w:val="00080EE1"/>
    <w:rsid w:val="0008484E"/>
    <w:rsid w:val="000B35AE"/>
    <w:rsid w:val="00104415"/>
    <w:rsid w:val="001055A9"/>
    <w:rsid w:val="0013430A"/>
    <w:rsid w:val="0014690E"/>
    <w:rsid w:val="0018369A"/>
    <w:rsid w:val="001A4A3D"/>
    <w:rsid w:val="001C6D5A"/>
    <w:rsid w:val="001E1B34"/>
    <w:rsid w:val="002409AF"/>
    <w:rsid w:val="00275CA9"/>
    <w:rsid w:val="002838B6"/>
    <w:rsid w:val="002A7533"/>
    <w:rsid w:val="002C0BD9"/>
    <w:rsid w:val="002E70AA"/>
    <w:rsid w:val="00311648"/>
    <w:rsid w:val="00373ECC"/>
    <w:rsid w:val="003804CD"/>
    <w:rsid w:val="00384EEF"/>
    <w:rsid w:val="003A6694"/>
    <w:rsid w:val="003A6861"/>
    <w:rsid w:val="003B0D0F"/>
    <w:rsid w:val="003B4BCB"/>
    <w:rsid w:val="003B6FFE"/>
    <w:rsid w:val="003C06A0"/>
    <w:rsid w:val="0044377D"/>
    <w:rsid w:val="0046034F"/>
    <w:rsid w:val="00465940"/>
    <w:rsid w:val="00470DF0"/>
    <w:rsid w:val="0048624A"/>
    <w:rsid w:val="004A406A"/>
    <w:rsid w:val="004A5FDA"/>
    <w:rsid w:val="004B4E67"/>
    <w:rsid w:val="004C3B7C"/>
    <w:rsid w:val="004C464E"/>
    <w:rsid w:val="004D2169"/>
    <w:rsid w:val="005109E6"/>
    <w:rsid w:val="00515C08"/>
    <w:rsid w:val="00547CBF"/>
    <w:rsid w:val="005512D1"/>
    <w:rsid w:val="005517ED"/>
    <w:rsid w:val="00565CDB"/>
    <w:rsid w:val="005A295B"/>
    <w:rsid w:val="005D75A6"/>
    <w:rsid w:val="005E281E"/>
    <w:rsid w:val="005F0CA9"/>
    <w:rsid w:val="00600ABA"/>
    <w:rsid w:val="00615AED"/>
    <w:rsid w:val="00642878"/>
    <w:rsid w:val="00652F09"/>
    <w:rsid w:val="006A7E16"/>
    <w:rsid w:val="006B2E28"/>
    <w:rsid w:val="006C0831"/>
    <w:rsid w:val="006E05A0"/>
    <w:rsid w:val="006E5AB9"/>
    <w:rsid w:val="007117B2"/>
    <w:rsid w:val="00713E4D"/>
    <w:rsid w:val="00742833"/>
    <w:rsid w:val="00743CFF"/>
    <w:rsid w:val="007752AF"/>
    <w:rsid w:val="007A0822"/>
    <w:rsid w:val="007A4E28"/>
    <w:rsid w:val="007B6204"/>
    <w:rsid w:val="007B7B33"/>
    <w:rsid w:val="007D6FB7"/>
    <w:rsid w:val="007F6E17"/>
    <w:rsid w:val="00806DDE"/>
    <w:rsid w:val="00821185"/>
    <w:rsid w:val="00826404"/>
    <w:rsid w:val="00841482"/>
    <w:rsid w:val="00853B65"/>
    <w:rsid w:val="00853E89"/>
    <w:rsid w:val="008A0ED9"/>
    <w:rsid w:val="008A6272"/>
    <w:rsid w:val="008B079D"/>
    <w:rsid w:val="008B0FBD"/>
    <w:rsid w:val="008B24CD"/>
    <w:rsid w:val="008C782B"/>
    <w:rsid w:val="008E0947"/>
    <w:rsid w:val="008E3B62"/>
    <w:rsid w:val="008F053F"/>
    <w:rsid w:val="008F1FE0"/>
    <w:rsid w:val="009014D5"/>
    <w:rsid w:val="0093261A"/>
    <w:rsid w:val="00934D25"/>
    <w:rsid w:val="00953FF8"/>
    <w:rsid w:val="00956E5F"/>
    <w:rsid w:val="00973797"/>
    <w:rsid w:val="00986654"/>
    <w:rsid w:val="00997785"/>
    <w:rsid w:val="009A476C"/>
    <w:rsid w:val="009C7B83"/>
    <w:rsid w:val="009D3F80"/>
    <w:rsid w:val="00A02E31"/>
    <w:rsid w:val="00A075CA"/>
    <w:rsid w:val="00A109B4"/>
    <w:rsid w:val="00A42BBD"/>
    <w:rsid w:val="00A501EB"/>
    <w:rsid w:val="00AA7198"/>
    <w:rsid w:val="00AB0875"/>
    <w:rsid w:val="00AC440E"/>
    <w:rsid w:val="00AF735F"/>
    <w:rsid w:val="00B00426"/>
    <w:rsid w:val="00B01C30"/>
    <w:rsid w:val="00B1758C"/>
    <w:rsid w:val="00B23C86"/>
    <w:rsid w:val="00B27725"/>
    <w:rsid w:val="00B55DCC"/>
    <w:rsid w:val="00B602FF"/>
    <w:rsid w:val="00B611D3"/>
    <w:rsid w:val="00B84284"/>
    <w:rsid w:val="00BA003C"/>
    <w:rsid w:val="00BA4677"/>
    <w:rsid w:val="00BB6537"/>
    <w:rsid w:val="00BB7296"/>
    <w:rsid w:val="00BC55EB"/>
    <w:rsid w:val="00BD7117"/>
    <w:rsid w:val="00C07190"/>
    <w:rsid w:val="00C72217"/>
    <w:rsid w:val="00CA29D4"/>
    <w:rsid w:val="00CB2A12"/>
    <w:rsid w:val="00CB6261"/>
    <w:rsid w:val="00CC7DC7"/>
    <w:rsid w:val="00CE11C9"/>
    <w:rsid w:val="00CF61AA"/>
    <w:rsid w:val="00D107C5"/>
    <w:rsid w:val="00D16056"/>
    <w:rsid w:val="00D33724"/>
    <w:rsid w:val="00D3620E"/>
    <w:rsid w:val="00D7234F"/>
    <w:rsid w:val="00D74ED6"/>
    <w:rsid w:val="00D97E7E"/>
    <w:rsid w:val="00DA7DCC"/>
    <w:rsid w:val="00DC0BBE"/>
    <w:rsid w:val="00E4640F"/>
    <w:rsid w:val="00E659F0"/>
    <w:rsid w:val="00E90514"/>
    <w:rsid w:val="00EA7EFA"/>
    <w:rsid w:val="00EB19E3"/>
    <w:rsid w:val="00F045C4"/>
    <w:rsid w:val="00F23DBC"/>
    <w:rsid w:val="00F33C53"/>
    <w:rsid w:val="00F37C7A"/>
    <w:rsid w:val="00F50892"/>
    <w:rsid w:val="00F52788"/>
    <w:rsid w:val="00F8563D"/>
    <w:rsid w:val="00F86ED1"/>
    <w:rsid w:val="00F91214"/>
    <w:rsid w:val="00FA5737"/>
    <w:rsid w:val="00FB1F88"/>
    <w:rsid w:val="00FB4446"/>
    <w:rsid w:val="00FC521A"/>
    <w:rsid w:val="00FE1E74"/>
    <w:rsid w:val="00FF4F77"/>
    <w:rsid w:val="00FF6BB8"/>
    <w:rsid w:val="0AFD46DE"/>
    <w:rsid w:val="1A853B00"/>
    <w:rsid w:val="37106C17"/>
    <w:rsid w:val="3E5157CB"/>
    <w:rsid w:val="4BBA626C"/>
    <w:rsid w:val="4BC925FE"/>
    <w:rsid w:val="7AB14A1D"/>
    <w:rsid w:val="7BD87850"/>
    <w:rsid w:val="7F85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0"/>
    <w:pPr>
      <w:spacing w:after="120"/>
    </w:pPr>
    <w:rPr>
      <w:szCs w:val="20"/>
    </w:rPr>
  </w:style>
  <w:style w:type="paragraph" w:styleId="3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674</Words>
  <Characters>1536</Characters>
  <Lines>192</Lines>
  <Paragraphs>111</Paragraphs>
  <TotalTime>0</TotalTime>
  <ScaleCrop>false</ScaleCrop>
  <LinksUpToDate>false</LinksUpToDate>
  <CharactersWithSpaces>1662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2020-05-10T16:02:00Z</dcterms:created>
  <dc:creator>V</dc:creator>
  <cp:lastModifiedBy>杜</cp:lastModifiedBy>
  <dcterms:modified xsi:type="dcterms:W3CDTF">2026-01-30T09:15:41Z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8447E21E1D994B0FA25415E720399355_13</vt:lpwstr>
  </property>
</Properties>
</file>