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C4CE5">
      <w:pPr>
        <w:jc w:val="left"/>
        <w:rPr>
          <w:rFonts w:hint="default" w:ascii="黑体" w:hAnsi="黑体" w:eastAsia="黑体" w:cs="黑体"/>
          <w:color w:val="000000"/>
          <w:sz w:val="28"/>
          <w:szCs w:val="28"/>
          <w:lang w:val="en-US" w:eastAsia="zh-CN"/>
        </w:rPr>
      </w:pPr>
      <w:r>
        <w:rPr>
          <w:rFonts w:hint="eastAsia" w:ascii="黑体" w:hAnsi="黑体" w:eastAsia="黑体" w:cs="黑体"/>
          <w:color w:val="000000"/>
          <w:sz w:val="28"/>
          <w:szCs w:val="28"/>
          <w:lang w:eastAsia="zh-CN"/>
        </w:rPr>
        <w:t>附件</w:t>
      </w:r>
      <w:r>
        <w:rPr>
          <w:rFonts w:hint="default" w:ascii="黑体" w:hAnsi="黑体" w:eastAsia="黑体" w:cs="黑体"/>
          <w:color w:val="000000"/>
          <w:sz w:val="28"/>
          <w:szCs w:val="28"/>
          <w:lang w:val="en-US" w:eastAsia="zh-CN"/>
        </w:rPr>
        <w:t>10</w:t>
      </w:r>
    </w:p>
    <w:p w14:paraId="4396BA80">
      <w:pPr>
        <w:spacing w:line="579" w:lineRule="exact"/>
        <w:jc w:val="center"/>
        <w:rPr>
          <w:rFonts w:hint="eastAsia" w:ascii="方正小标宋简体" w:hAnsi="方正小标宋简体" w:eastAsia="方正小标宋简体" w:cs="方正小标宋简体"/>
          <w:sz w:val="36"/>
          <w:szCs w:val="36"/>
        </w:rPr>
      </w:pPr>
    </w:p>
    <w:p w14:paraId="6CE11BDB">
      <w:pPr>
        <w:spacing w:line="579"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2025年度省</w:t>
      </w:r>
      <w:r>
        <w:rPr>
          <w:rFonts w:hint="eastAsia" w:ascii="方正小标宋简体" w:hAnsi="方正小标宋简体" w:eastAsia="方正小标宋简体" w:cs="方正小标宋简体"/>
          <w:sz w:val="36"/>
          <w:szCs w:val="36"/>
          <w:lang w:eastAsia="zh-CN"/>
        </w:rPr>
        <w:t>科学技术</w:t>
      </w:r>
      <w:r>
        <w:rPr>
          <w:rFonts w:hint="eastAsia" w:ascii="方正小标宋简体" w:hAnsi="方正小标宋简体" w:eastAsia="方正小标宋简体" w:cs="方正小标宋简体"/>
          <w:sz w:val="36"/>
          <w:szCs w:val="36"/>
        </w:rPr>
        <w:t>进步奖提名公示</w:t>
      </w:r>
    </w:p>
    <w:p w14:paraId="42E93621">
      <w:pPr>
        <w:spacing w:line="400" w:lineRule="exact"/>
        <w:rPr>
          <w:rFonts w:hint="eastAsia" w:ascii="仿宋" w:hAnsi="仿宋" w:eastAsia="仿宋"/>
          <w:b/>
          <w:bCs/>
          <w:szCs w:val="28"/>
        </w:rPr>
      </w:pPr>
    </w:p>
    <w:p w14:paraId="37859493">
      <w:pPr>
        <w:spacing w:line="560" w:lineRule="exact"/>
        <w:rPr>
          <w:rFonts w:hint="eastAsia" w:ascii="仿宋_GB2312" w:hAnsi="宋体"/>
          <w:sz w:val="32"/>
          <w:szCs w:val="32"/>
        </w:rPr>
      </w:pPr>
      <w:r>
        <w:rPr>
          <w:rFonts w:hint="eastAsia" w:ascii="黑体" w:hAnsi="黑体" w:eastAsia="黑体"/>
          <w:sz w:val="32"/>
          <w:szCs w:val="32"/>
        </w:rPr>
        <w:t>一、项目名称：</w:t>
      </w:r>
      <w:r>
        <w:rPr>
          <w:rFonts w:hint="eastAsia" w:ascii="仿宋_GB2312" w:hAnsi="宋体"/>
          <w:sz w:val="32"/>
          <w:szCs w:val="32"/>
        </w:rPr>
        <w:t>复杂快速心律失常的机制与诊治应用</w:t>
      </w:r>
    </w:p>
    <w:p w14:paraId="733696E8">
      <w:pPr>
        <w:spacing w:line="560" w:lineRule="exact"/>
        <w:rPr>
          <w:rFonts w:hint="eastAsia" w:ascii="仿宋_GB2312" w:hAnsi="仿宋"/>
          <w:sz w:val="32"/>
          <w:szCs w:val="32"/>
        </w:rPr>
      </w:pPr>
      <w:r>
        <w:rPr>
          <w:rFonts w:hint="eastAsia" w:ascii="黑体" w:hAnsi="黑体" w:eastAsia="黑体"/>
          <w:sz w:val="32"/>
          <w:szCs w:val="32"/>
        </w:rPr>
        <w:t>二、提名单位：</w:t>
      </w:r>
      <w:r>
        <w:rPr>
          <w:rFonts w:hint="eastAsia" w:ascii="仿宋_GB2312" w:hAnsi="仿宋"/>
          <w:sz w:val="32"/>
          <w:szCs w:val="32"/>
        </w:rPr>
        <w:t>贵州省卫生健康委员会</w:t>
      </w:r>
    </w:p>
    <w:p w14:paraId="6FF05272">
      <w:pPr>
        <w:spacing w:line="560" w:lineRule="exact"/>
        <w:rPr>
          <w:rFonts w:hint="eastAsia" w:ascii="黑体" w:hAnsi="黑体" w:eastAsia="黑体"/>
          <w:sz w:val="32"/>
          <w:szCs w:val="32"/>
        </w:rPr>
      </w:pPr>
      <w:r>
        <w:rPr>
          <w:rFonts w:hint="eastAsia" w:ascii="黑体" w:hAnsi="黑体" w:eastAsia="黑体"/>
          <w:sz w:val="32"/>
          <w:szCs w:val="32"/>
        </w:rPr>
        <w:t>三、主要知识产权和标准规范等目录</w:t>
      </w:r>
    </w:p>
    <w:tbl>
      <w:tblPr>
        <w:tblStyle w:val="7"/>
        <w:tblW w:w="100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58"/>
        <w:gridCol w:w="1964"/>
        <w:gridCol w:w="780"/>
        <w:gridCol w:w="975"/>
        <w:gridCol w:w="975"/>
        <w:gridCol w:w="1245"/>
        <w:gridCol w:w="1215"/>
        <w:gridCol w:w="1121"/>
        <w:gridCol w:w="810"/>
      </w:tblGrid>
      <w:tr w14:paraId="406BEA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680" w:hRule="atLeast"/>
          <w:jc w:val="center"/>
        </w:trPr>
        <w:tc>
          <w:tcPr>
            <w:tcW w:w="958" w:type="dxa"/>
            <w:vAlign w:val="center"/>
          </w:tcPr>
          <w:p w14:paraId="299724CA">
            <w:pPr>
              <w:spacing w:line="260" w:lineRule="exact"/>
              <w:jc w:val="center"/>
              <w:rPr>
                <w:rFonts w:hint="eastAsia" w:ascii="宋体" w:hAnsi="宋体" w:eastAsia="宋体" w:cs="Times New Roman"/>
                <w:sz w:val="21"/>
                <w:szCs w:val="21"/>
              </w:rPr>
            </w:pPr>
            <w:r>
              <w:rPr>
                <w:rFonts w:ascii="宋体" w:hAnsi="宋体" w:eastAsia="宋体" w:cs="Times New Roman"/>
                <w:sz w:val="21"/>
                <w:szCs w:val="21"/>
              </w:rPr>
              <w:t>知识产权</w:t>
            </w:r>
            <w:r>
              <w:rPr>
                <w:rFonts w:hint="eastAsia" w:ascii="宋体" w:hAnsi="宋体" w:eastAsia="宋体" w:cs="Times New Roman"/>
                <w:sz w:val="21"/>
                <w:szCs w:val="21"/>
              </w:rPr>
              <w:t>（标准）</w:t>
            </w:r>
            <w:r>
              <w:rPr>
                <w:rFonts w:ascii="宋体" w:hAnsi="宋体" w:eastAsia="宋体" w:cs="Times New Roman"/>
                <w:sz w:val="21"/>
                <w:szCs w:val="21"/>
              </w:rPr>
              <w:t>类别</w:t>
            </w:r>
          </w:p>
        </w:tc>
        <w:tc>
          <w:tcPr>
            <w:tcW w:w="1964" w:type="dxa"/>
            <w:vAlign w:val="center"/>
          </w:tcPr>
          <w:p w14:paraId="360837F8">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知识产权（标准）具体</w:t>
            </w:r>
            <w:r>
              <w:rPr>
                <w:rFonts w:ascii="宋体" w:hAnsi="宋体" w:eastAsia="宋体" w:cs="Times New Roman"/>
                <w:sz w:val="21"/>
                <w:szCs w:val="21"/>
              </w:rPr>
              <w:t>名称</w:t>
            </w:r>
          </w:p>
        </w:tc>
        <w:tc>
          <w:tcPr>
            <w:tcW w:w="780" w:type="dxa"/>
            <w:vAlign w:val="center"/>
          </w:tcPr>
          <w:p w14:paraId="334D4C03">
            <w:pPr>
              <w:spacing w:line="260" w:lineRule="exact"/>
              <w:jc w:val="center"/>
              <w:rPr>
                <w:rFonts w:hint="eastAsia" w:ascii="宋体" w:hAnsi="宋体" w:eastAsia="宋体" w:cs="Times New Roman"/>
                <w:sz w:val="21"/>
                <w:szCs w:val="21"/>
              </w:rPr>
            </w:pPr>
            <w:r>
              <w:rPr>
                <w:rFonts w:ascii="宋体" w:hAnsi="宋体" w:eastAsia="宋体" w:cs="Times New Roman"/>
                <w:sz w:val="21"/>
                <w:szCs w:val="21"/>
              </w:rPr>
              <w:t>国</w:t>
            </w:r>
            <w:r>
              <w:rPr>
                <w:rFonts w:hint="eastAsia" w:ascii="宋体" w:hAnsi="宋体" w:eastAsia="宋体" w:cs="Times New Roman"/>
                <w:sz w:val="21"/>
                <w:szCs w:val="21"/>
              </w:rPr>
              <w:t>家</w:t>
            </w:r>
          </w:p>
          <w:p w14:paraId="4660669B">
            <w:pPr>
              <w:spacing w:line="260" w:lineRule="exact"/>
              <w:jc w:val="center"/>
              <w:rPr>
                <w:rFonts w:hint="eastAsia" w:ascii="宋体" w:hAnsi="宋体" w:eastAsia="宋体" w:cs="Times New Roman"/>
                <w:sz w:val="21"/>
                <w:szCs w:val="21"/>
              </w:rPr>
            </w:pPr>
            <w:r>
              <w:rPr>
                <w:rFonts w:ascii="宋体" w:hAnsi="宋体" w:eastAsia="宋体" w:cs="Times New Roman"/>
                <w:sz w:val="21"/>
                <w:szCs w:val="21"/>
              </w:rPr>
              <w:t>（</w:t>
            </w:r>
            <w:r>
              <w:rPr>
                <w:rFonts w:hint="eastAsia" w:ascii="宋体" w:hAnsi="宋体" w:eastAsia="宋体" w:cs="Times New Roman"/>
                <w:sz w:val="21"/>
                <w:szCs w:val="21"/>
              </w:rPr>
              <w:t>地</w:t>
            </w:r>
            <w:r>
              <w:rPr>
                <w:rFonts w:ascii="宋体" w:hAnsi="宋体" w:eastAsia="宋体" w:cs="Times New Roman"/>
                <w:sz w:val="21"/>
                <w:szCs w:val="21"/>
              </w:rPr>
              <w:t>区）</w:t>
            </w:r>
          </w:p>
        </w:tc>
        <w:tc>
          <w:tcPr>
            <w:tcW w:w="975" w:type="dxa"/>
            <w:vAlign w:val="center"/>
          </w:tcPr>
          <w:p w14:paraId="010902B4">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授权号（标准编号）</w:t>
            </w:r>
          </w:p>
        </w:tc>
        <w:tc>
          <w:tcPr>
            <w:tcW w:w="975" w:type="dxa"/>
            <w:vAlign w:val="center"/>
          </w:tcPr>
          <w:p w14:paraId="206C7EB1">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授权（标准发布）日期</w:t>
            </w:r>
          </w:p>
        </w:tc>
        <w:tc>
          <w:tcPr>
            <w:tcW w:w="1245" w:type="dxa"/>
            <w:vAlign w:val="center"/>
          </w:tcPr>
          <w:p w14:paraId="146DD9A6">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证书编号（标准批准发布</w:t>
            </w:r>
            <w:r>
              <w:rPr>
                <w:rFonts w:ascii="宋体" w:hAnsi="宋体" w:eastAsia="宋体" w:cs="Times New Roman"/>
                <w:sz w:val="21"/>
                <w:szCs w:val="21"/>
              </w:rPr>
              <w:t>部门</w:t>
            </w:r>
            <w:r>
              <w:rPr>
                <w:rFonts w:hint="eastAsia" w:ascii="宋体" w:hAnsi="宋体" w:eastAsia="宋体" w:cs="Times New Roman"/>
                <w:sz w:val="21"/>
                <w:szCs w:val="21"/>
              </w:rPr>
              <w:t>）</w:t>
            </w:r>
          </w:p>
        </w:tc>
        <w:tc>
          <w:tcPr>
            <w:tcW w:w="1215" w:type="dxa"/>
            <w:vAlign w:val="center"/>
          </w:tcPr>
          <w:p w14:paraId="673AFE4A">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权利人（标准起草单位）</w:t>
            </w:r>
          </w:p>
        </w:tc>
        <w:tc>
          <w:tcPr>
            <w:tcW w:w="1121" w:type="dxa"/>
            <w:vAlign w:val="center"/>
          </w:tcPr>
          <w:p w14:paraId="263D0973">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发明人（标准起草人）</w:t>
            </w:r>
          </w:p>
        </w:tc>
        <w:tc>
          <w:tcPr>
            <w:tcW w:w="810" w:type="dxa"/>
            <w:vAlign w:val="center"/>
          </w:tcPr>
          <w:p w14:paraId="1A11EF1C">
            <w:pPr>
              <w:spacing w:line="260" w:lineRule="exact"/>
              <w:jc w:val="center"/>
              <w:rPr>
                <w:rFonts w:hint="eastAsia" w:ascii="宋体" w:hAnsi="宋体" w:eastAsia="宋体" w:cs="Times New Roman"/>
                <w:sz w:val="21"/>
                <w:szCs w:val="21"/>
              </w:rPr>
            </w:pPr>
            <w:r>
              <w:rPr>
                <w:rFonts w:hint="eastAsia" w:ascii="宋体" w:hAnsi="宋体" w:eastAsia="宋体" w:cs="Times New Roman"/>
                <w:sz w:val="21"/>
                <w:szCs w:val="21"/>
              </w:rPr>
              <w:t>发明专利（标准）有效状态</w:t>
            </w:r>
          </w:p>
        </w:tc>
      </w:tr>
      <w:tr w14:paraId="34B332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0E05DC65">
            <w:pPr>
              <w:pStyle w:val="3"/>
              <w:spacing w:line="200" w:lineRule="exact"/>
              <w:ind w:firstLine="0" w:firstLineChars="0"/>
              <w:jc w:val="center"/>
              <w:rPr>
                <w:rFonts w:hint="eastAsia" w:ascii="宋体" w:hAnsi="宋体" w:eastAsia="宋体" w:cs="Times New Roman"/>
                <w:sz w:val="21"/>
                <w:szCs w:val="21"/>
              </w:rPr>
            </w:pPr>
            <w:r>
              <w:rPr>
                <w:rFonts w:asciiTheme="minorEastAsia" w:hAnsiTheme="minorEastAsia" w:eastAsiaTheme="minorEastAsia"/>
                <w:color w:val="000000"/>
                <w:sz w:val="21"/>
                <w:szCs w:val="21"/>
              </w:rPr>
              <w:t>论文</w:t>
            </w:r>
          </w:p>
        </w:tc>
        <w:tc>
          <w:tcPr>
            <w:tcW w:w="1964" w:type="dxa"/>
            <w:vAlign w:val="center"/>
          </w:tcPr>
          <w:p w14:paraId="5CE6F99A">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Investigating Origins of Ventricular Arrhythmia Arising From Right Ventricular Outflow Tract and Comparing Initial Ablation Strategies</w:t>
            </w:r>
          </w:p>
        </w:tc>
        <w:tc>
          <w:tcPr>
            <w:tcW w:w="780" w:type="dxa"/>
            <w:vAlign w:val="center"/>
          </w:tcPr>
          <w:p w14:paraId="624AD24A">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4F8B2A4B">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10.3389/fcvm.2021.727546</w:t>
            </w:r>
          </w:p>
        </w:tc>
        <w:tc>
          <w:tcPr>
            <w:tcW w:w="975" w:type="dxa"/>
            <w:vAlign w:val="center"/>
          </w:tcPr>
          <w:p w14:paraId="5029AD3B">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2021-10-08</w:t>
            </w:r>
          </w:p>
        </w:tc>
        <w:tc>
          <w:tcPr>
            <w:tcW w:w="1245" w:type="dxa"/>
            <w:vAlign w:val="center"/>
          </w:tcPr>
          <w:p w14:paraId="5DD22250">
            <w:pPr>
              <w:pStyle w:val="3"/>
              <w:spacing w:line="200" w:lineRule="exact"/>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Front Cardiovasc Med.</w:t>
            </w:r>
          </w:p>
        </w:tc>
        <w:tc>
          <w:tcPr>
            <w:tcW w:w="1215" w:type="dxa"/>
            <w:vAlign w:val="center"/>
          </w:tcPr>
          <w:p w14:paraId="64757081">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4696D1B6">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蒋智（第一）、杨龙（通讯）</w:t>
            </w:r>
          </w:p>
        </w:tc>
        <w:tc>
          <w:tcPr>
            <w:tcW w:w="810" w:type="dxa"/>
            <w:vAlign w:val="center"/>
          </w:tcPr>
          <w:p w14:paraId="29FEE688">
            <w:pPr>
              <w:pStyle w:val="3"/>
              <w:spacing w:line="200" w:lineRule="exact"/>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6601EE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10DB4C35">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sz w:val="21"/>
                <w:szCs w:val="21"/>
                <w:lang w:val="en-US" w:eastAsia="zh-CN"/>
              </w:rPr>
              <w:t>论文</w:t>
            </w:r>
          </w:p>
        </w:tc>
        <w:tc>
          <w:tcPr>
            <w:tcW w:w="1964" w:type="dxa"/>
            <w:vAlign w:val="center"/>
          </w:tcPr>
          <w:p w14:paraId="6EC83A8C">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Crim1 suppresses left ventricular hypertrophy</w:t>
            </w:r>
          </w:p>
        </w:tc>
        <w:tc>
          <w:tcPr>
            <w:tcW w:w="780" w:type="dxa"/>
            <w:vAlign w:val="center"/>
          </w:tcPr>
          <w:p w14:paraId="05810659">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49DF7D18">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10.3892/br.2019.1214</w:t>
            </w:r>
          </w:p>
        </w:tc>
        <w:tc>
          <w:tcPr>
            <w:tcW w:w="975" w:type="dxa"/>
            <w:vAlign w:val="center"/>
          </w:tcPr>
          <w:p w14:paraId="08E3267A">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2019-06-01</w:t>
            </w:r>
          </w:p>
        </w:tc>
        <w:tc>
          <w:tcPr>
            <w:tcW w:w="1245" w:type="dxa"/>
            <w:vAlign w:val="center"/>
          </w:tcPr>
          <w:p w14:paraId="5B6E47D0">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Biomed Rep.</w:t>
            </w:r>
          </w:p>
        </w:tc>
        <w:tc>
          <w:tcPr>
            <w:tcW w:w="1215" w:type="dxa"/>
            <w:vAlign w:val="center"/>
          </w:tcPr>
          <w:p w14:paraId="7E2B66DA">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4DAE6A9F">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杨龙（</w:t>
            </w:r>
            <w:bookmarkStart w:id="0" w:name="_GoBack"/>
            <w:r>
              <w:rPr>
                <w:rFonts w:hint="default" w:ascii="Times New Roman" w:hAnsi="Times New Roman" w:eastAsia="宋体" w:cs="Times New Roman"/>
                <w:color w:val="auto"/>
                <w:sz w:val="21"/>
                <w:szCs w:val="21"/>
                <w:lang w:val="en-US" w:eastAsia="zh-CN"/>
              </w:rPr>
              <w:t>第一、</w:t>
            </w:r>
            <w:bookmarkEnd w:id="0"/>
            <w:r>
              <w:rPr>
                <w:rFonts w:hint="default" w:ascii="Times New Roman" w:hAnsi="Times New Roman" w:eastAsia="宋体" w:cs="Times New Roman"/>
                <w:color w:val="auto"/>
                <w:sz w:val="21"/>
                <w:szCs w:val="21"/>
                <w:lang w:val="en-US" w:eastAsia="zh-CN"/>
              </w:rPr>
              <w:t>通讯）</w:t>
            </w:r>
          </w:p>
        </w:tc>
        <w:tc>
          <w:tcPr>
            <w:tcW w:w="810" w:type="dxa"/>
            <w:vAlign w:val="center"/>
          </w:tcPr>
          <w:p w14:paraId="2AF596CA">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0FAE7D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FE598DA">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sz w:val="21"/>
                <w:szCs w:val="21"/>
                <w:lang w:val="en-US" w:eastAsia="zh-CN"/>
              </w:rPr>
              <w:t>论文</w:t>
            </w:r>
          </w:p>
        </w:tc>
        <w:tc>
          <w:tcPr>
            <w:tcW w:w="1964" w:type="dxa"/>
            <w:vAlign w:val="center"/>
          </w:tcPr>
          <w:p w14:paraId="4A6BBE94">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The predictive value of a concise classification of left atrial appendage morphology to thrombosis in non-valvular atrial fibrillation patients</w:t>
            </w:r>
          </w:p>
        </w:tc>
        <w:tc>
          <w:tcPr>
            <w:tcW w:w="780" w:type="dxa"/>
            <w:vAlign w:val="center"/>
          </w:tcPr>
          <w:p w14:paraId="095ABF96">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785DB5EA">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10.1002/clc.23381</w:t>
            </w:r>
          </w:p>
        </w:tc>
        <w:tc>
          <w:tcPr>
            <w:tcW w:w="975" w:type="dxa"/>
            <w:vAlign w:val="center"/>
          </w:tcPr>
          <w:p w14:paraId="610A3164">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2020-07-01</w:t>
            </w:r>
          </w:p>
        </w:tc>
        <w:tc>
          <w:tcPr>
            <w:tcW w:w="1245" w:type="dxa"/>
            <w:vAlign w:val="center"/>
          </w:tcPr>
          <w:p w14:paraId="349D5221">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kern w:val="0"/>
                <w:sz w:val="21"/>
                <w:szCs w:val="21"/>
                <w:u w:val="none"/>
                <w:shd w:val="clear" w:fill="FFFFFF"/>
                <w:lang w:val="en-US" w:eastAsia="zh-CN" w:bidi="ar"/>
              </w:rPr>
              <w:t>Clin Cardiol.</w:t>
            </w:r>
          </w:p>
        </w:tc>
        <w:tc>
          <w:tcPr>
            <w:tcW w:w="1215" w:type="dxa"/>
            <w:vAlign w:val="center"/>
          </w:tcPr>
          <w:p w14:paraId="758F1990">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0C98050D">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何炯红（第一）、杨龙（通讯）</w:t>
            </w:r>
          </w:p>
        </w:tc>
        <w:tc>
          <w:tcPr>
            <w:tcW w:w="810" w:type="dxa"/>
            <w:vAlign w:val="center"/>
          </w:tcPr>
          <w:p w14:paraId="42E43104">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4623BC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763286F5">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sz w:val="21"/>
                <w:szCs w:val="21"/>
                <w:lang w:val="en-US" w:eastAsia="zh-CN"/>
              </w:rPr>
              <w:t>论文</w:t>
            </w:r>
          </w:p>
        </w:tc>
        <w:tc>
          <w:tcPr>
            <w:tcW w:w="1964" w:type="dxa"/>
            <w:vAlign w:val="center"/>
          </w:tcPr>
          <w:p w14:paraId="57419EBD">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color w:val="auto"/>
                <w:sz w:val="21"/>
                <w:szCs w:val="21"/>
                <w:u w:val="none"/>
              </w:rPr>
              <w:t>Regulation of inward rectifier potassium current ionic channel remodeling by AT1-Calcineurin-NFAT signaling pathway in stretch-induced hypertrophic atrial myocytes</w:t>
            </w:r>
          </w:p>
        </w:tc>
        <w:tc>
          <w:tcPr>
            <w:tcW w:w="780" w:type="dxa"/>
            <w:vAlign w:val="center"/>
          </w:tcPr>
          <w:p w14:paraId="6B7461DB">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709023AF">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10.1002/cbin.10983</w:t>
            </w:r>
          </w:p>
        </w:tc>
        <w:tc>
          <w:tcPr>
            <w:tcW w:w="975" w:type="dxa"/>
            <w:vAlign w:val="center"/>
          </w:tcPr>
          <w:p w14:paraId="4D134EB5">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2018-09-01</w:t>
            </w:r>
          </w:p>
        </w:tc>
        <w:tc>
          <w:tcPr>
            <w:tcW w:w="1245" w:type="dxa"/>
            <w:vAlign w:val="center"/>
          </w:tcPr>
          <w:p w14:paraId="17793191">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caps w:val="0"/>
                <w:color w:val="auto"/>
                <w:spacing w:val="0"/>
                <w:kern w:val="0"/>
                <w:sz w:val="21"/>
                <w:szCs w:val="21"/>
                <w:u w:val="none"/>
                <w:shd w:val="clear" w:color="auto" w:fill="FFFFFF"/>
                <w:lang w:val="en-US" w:eastAsia="zh-CN" w:bidi="ar"/>
              </w:rPr>
              <w:t>Cell Biol Int.</w:t>
            </w:r>
          </w:p>
        </w:tc>
        <w:tc>
          <w:tcPr>
            <w:tcW w:w="1215" w:type="dxa"/>
            <w:vAlign w:val="center"/>
          </w:tcPr>
          <w:p w14:paraId="66FC9FC7">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627506B8">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何炯红（第一）、杨龙（通讯）</w:t>
            </w:r>
          </w:p>
        </w:tc>
        <w:tc>
          <w:tcPr>
            <w:tcW w:w="810" w:type="dxa"/>
            <w:vAlign w:val="center"/>
          </w:tcPr>
          <w:p w14:paraId="7031A5C1">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52148E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6D402F4">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sz w:val="21"/>
                <w:szCs w:val="21"/>
                <w:lang w:val="en-US" w:eastAsia="zh-CN"/>
              </w:rPr>
              <w:t>论文</w:t>
            </w:r>
          </w:p>
        </w:tc>
        <w:tc>
          <w:tcPr>
            <w:tcW w:w="1964" w:type="dxa"/>
            <w:vAlign w:val="center"/>
          </w:tcPr>
          <w:p w14:paraId="5E98AA2E">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14:textFill>
                  <w14:solidFill>
                    <w14:schemeClr w14:val="tx1"/>
                  </w14:solidFill>
                </w14:textFill>
              </w:rPr>
              <w:t>Irregular orthodromic atrioventricular reentrant tachycardia using the left lateral accessory pathway due to intermittent mitral isthmus block</w:t>
            </w:r>
          </w:p>
        </w:tc>
        <w:tc>
          <w:tcPr>
            <w:tcW w:w="780" w:type="dxa"/>
            <w:vAlign w:val="center"/>
          </w:tcPr>
          <w:p w14:paraId="65587179">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36F515B1">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10.1016/j.jelectrocard.2020.09.003</w:t>
            </w:r>
          </w:p>
        </w:tc>
        <w:tc>
          <w:tcPr>
            <w:tcW w:w="975" w:type="dxa"/>
            <w:vAlign w:val="center"/>
          </w:tcPr>
          <w:p w14:paraId="147AF9BF">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2020-09-19</w:t>
            </w:r>
          </w:p>
        </w:tc>
        <w:tc>
          <w:tcPr>
            <w:tcW w:w="1245" w:type="dxa"/>
            <w:vAlign w:val="center"/>
          </w:tcPr>
          <w:p w14:paraId="0096D4D8">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J</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Electrocardiol.</w:t>
            </w:r>
          </w:p>
        </w:tc>
        <w:tc>
          <w:tcPr>
            <w:tcW w:w="1215" w:type="dxa"/>
            <w:vAlign w:val="center"/>
          </w:tcPr>
          <w:p w14:paraId="67DE1B9A">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24B5CB7F">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刘启方（第一）、杨龙（通讯）</w:t>
            </w:r>
          </w:p>
        </w:tc>
        <w:tc>
          <w:tcPr>
            <w:tcW w:w="810" w:type="dxa"/>
            <w:vAlign w:val="center"/>
          </w:tcPr>
          <w:p w14:paraId="212635DC">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26AE89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04EB653">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sz w:val="21"/>
                <w:szCs w:val="21"/>
                <w:lang w:val="en-US" w:eastAsia="zh-CN"/>
              </w:rPr>
              <w:t>论文</w:t>
            </w:r>
          </w:p>
        </w:tc>
        <w:tc>
          <w:tcPr>
            <w:tcW w:w="1964" w:type="dxa"/>
            <w:vAlign w:val="center"/>
          </w:tcPr>
          <w:p w14:paraId="238131D1">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Impact of left atrial appendage thrombus location on diagnostic accuracy of cardiac CT: a single-centre case-control study</w:t>
            </w:r>
          </w:p>
        </w:tc>
        <w:tc>
          <w:tcPr>
            <w:tcW w:w="780" w:type="dxa"/>
            <w:vAlign w:val="center"/>
          </w:tcPr>
          <w:p w14:paraId="70EB8127">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中国</w:t>
            </w:r>
          </w:p>
        </w:tc>
        <w:tc>
          <w:tcPr>
            <w:tcW w:w="975" w:type="dxa"/>
            <w:vAlign w:val="center"/>
          </w:tcPr>
          <w:p w14:paraId="6761E2DB">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14:textFill>
                  <w14:solidFill>
                    <w14:schemeClr w14:val="tx1"/>
                  </w14:solidFill>
                </w14:textFill>
              </w:rPr>
              <w:t>10.1136/bmjopen-2023-079876</w:t>
            </w:r>
          </w:p>
        </w:tc>
        <w:tc>
          <w:tcPr>
            <w:tcW w:w="975" w:type="dxa"/>
            <w:vAlign w:val="center"/>
          </w:tcPr>
          <w:p w14:paraId="6041D2C4">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202</w:t>
            </w:r>
            <w:r>
              <w:rPr>
                <w:rFonts w:hint="eastAsia"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4</w:t>
            </w: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-0</w:t>
            </w:r>
            <w:r>
              <w:rPr>
                <w:rFonts w:hint="eastAsia"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1</w:t>
            </w: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w:t>
            </w:r>
            <w:r>
              <w:rPr>
                <w:rFonts w:hint="eastAsia"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3</w:t>
            </w: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1</w:t>
            </w:r>
          </w:p>
        </w:tc>
        <w:tc>
          <w:tcPr>
            <w:tcW w:w="1245" w:type="dxa"/>
            <w:vAlign w:val="center"/>
          </w:tcPr>
          <w:p w14:paraId="2BD4B4F9">
            <w:pPr>
              <w:pStyle w:val="3"/>
              <w:spacing w:line="240" w:lineRule="auto"/>
              <w:ind w:firstLine="0" w:firstLineChars="0"/>
              <w:jc w:val="center"/>
              <w:rPr>
                <w:rFonts w:hint="eastAsia" w:ascii="宋体" w:hAnsi="宋体" w:eastAsia="宋体" w:cs="Times New Roman"/>
                <w:sz w:val="21"/>
                <w:szCs w:val="21"/>
              </w:rPr>
            </w:pPr>
            <w:r>
              <w:rPr>
                <w:rFonts w:hint="eastAsia"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BMJ Open</w:t>
            </w:r>
          </w:p>
        </w:tc>
        <w:tc>
          <w:tcPr>
            <w:tcW w:w="1215" w:type="dxa"/>
            <w:vAlign w:val="center"/>
          </w:tcPr>
          <w:p w14:paraId="38774A0D">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贵州省人民医院</w:t>
            </w:r>
          </w:p>
        </w:tc>
        <w:tc>
          <w:tcPr>
            <w:tcW w:w="1121" w:type="dxa"/>
            <w:vAlign w:val="center"/>
          </w:tcPr>
          <w:p w14:paraId="1C857394">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杨龙（通讯）</w:t>
            </w:r>
          </w:p>
        </w:tc>
        <w:tc>
          <w:tcPr>
            <w:tcW w:w="810" w:type="dxa"/>
            <w:vAlign w:val="center"/>
          </w:tcPr>
          <w:p w14:paraId="2EC82562">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04580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2A737FD4">
            <w:pPr>
              <w:spacing w:line="240" w:lineRule="auto"/>
              <w:ind w:firstLine="0" w:firstLineChars="0"/>
              <w:jc w:val="center"/>
              <w:rPr>
                <w:rFonts w:hint="eastAsia" w:ascii="宋体" w:hAnsi="宋体" w:eastAsia="宋体" w:cs="Times New Roman"/>
                <w:sz w:val="21"/>
                <w:szCs w:val="21"/>
              </w:rPr>
            </w:pPr>
            <w:r>
              <w:rPr>
                <w:rFonts w:hint="eastAsia" w:cs="Times New Roman"/>
                <w:sz w:val="21"/>
                <w:szCs w:val="21"/>
                <w:lang w:val="en-US" w:eastAsia="zh-CN"/>
              </w:rPr>
              <w:t>论文</w:t>
            </w:r>
          </w:p>
        </w:tc>
        <w:tc>
          <w:tcPr>
            <w:tcW w:w="1964" w:type="dxa"/>
            <w:vAlign w:val="center"/>
          </w:tcPr>
          <w:p w14:paraId="5B0FF9EE">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左心耳血流速度对非瓣膜性心房颤动患者左心耳血栓形成的预测价值评估</w:t>
            </w:r>
          </w:p>
        </w:tc>
        <w:tc>
          <w:tcPr>
            <w:tcW w:w="780" w:type="dxa"/>
            <w:vAlign w:val="center"/>
          </w:tcPr>
          <w:p w14:paraId="72B06844">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中国</w:t>
            </w:r>
          </w:p>
        </w:tc>
        <w:tc>
          <w:tcPr>
            <w:tcW w:w="975" w:type="dxa"/>
            <w:vAlign w:val="center"/>
          </w:tcPr>
          <w:p w14:paraId="15CC008E">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10.3969/j.issn.1000-3614.2022.08.012</w:t>
            </w:r>
          </w:p>
        </w:tc>
        <w:tc>
          <w:tcPr>
            <w:tcW w:w="975" w:type="dxa"/>
            <w:vAlign w:val="center"/>
          </w:tcPr>
          <w:p w14:paraId="1ECC349C">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2022-08-01</w:t>
            </w:r>
          </w:p>
        </w:tc>
        <w:tc>
          <w:tcPr>
            <w:tcW w:w="1245" w:type="dxa"/>
            <w:vAlign w:val="center"/>
          </w:tcPr>
          <w:p w14:paraId="316E8518">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中国循环杂志</w:t>
            </w:r>
          </w:p>
        </w:tc>
        <w:tc>
          <w:tcPr>
            <w:tcW w:w="1215" w:type="dxa"/>
            <w:vAlign w:val="center"/>
          </w:tcPr>
          <w:p w14:paraId="30B8C1F2">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贵州省人民医院</w:t>
            </w:r>
          </w:p>
        </w:tc>
        <w:tc>
          <w:tcPr>
            <w:tcW w:w="1121" w:type="dxa"/>
            <w:vAlign w:val="center"/>
          </w:tcPr>
          <w:p w14:paraId="36E60E80">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000000" w:themeColor="text1"/>
                <w:spacing w:val="0"/>
                <w:sz w:val="21"/>
                <w:szCs w:val="21"/>
                <w:u w:val="none"/>
                <w:shd w:val="clear" w:fill="FFFFFF"/>
                <w:lang w:val="en-US" w:eastAsia="zh-CN"/>
                <w14:textFill>
                  <w14:solidFill>
                    <w14:schemeClr w14:val="tx1"/>
                  </w14:solidFill>
                </w14:textFill>
              </w:rPr>
              <w:t>杨龙（通讯）</w:t>
            </w:r>
          </w:p>
        </w:tc>
        <w:tc>
          <w:tcPr>
            <w:tcW w:w="810" w:type="dxa"/>
            <w:vAlign w:val="center"/>
          </w:tcPr>
          <w:p w14:paraId="60AE5C08">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4690F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2721F545">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sz w:val="21"/>
                <w:szCs w:val="21"/>
                <w:lang w:val="en-US" w:eastAsia="zh-CN"/>
              </w:rPr>
              <w:t>论文</w:t>
            </w:r>
          </w:p>
        </w:tc>
        <w:tc>
          <w:tcPr>
            <w:tcW w:w="1964" w:type="dxa"/>
            <w:vAlign w:val="center"/>
          </w:tcPr>
          <w:p w14:paraId="687E31DA">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左心房及肺静脉两种立体成像方法在心房颤动射频消融术中的应用</w:t>
            </w:r>
          </w:p>
        </w:tc>
        <w:tc>
          <w:tcPr>
            <w:tcW w:w="780" w:type="dxa"/>
            <w:vAlign w:val="center"/>
          </w:tcPr>
          <w:p w14:paraId="404480F0">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6ECCC026">
            <w:pPr>
              <w:keepNext w:val="0"/>
              <w:keepLines w:val="0"/>
              <w:widowControl/>
              <w:suppressLineNumbers w:val="0"/>
              <w:spacing w:line="240" w:lineRule="auto"/>
              <w:jc w:val="center"/>
              <w:rPr>
                <w:rFonts w:hint="eastAsia" w:ascii="宋体" w:hAnsi="宋体" w:eastAsia="宋体" w:cs="Times New Roman"/>
                <w:sz w:val="21"/>
                <w:szCs w:val="21"/>
              </w:rPr>
            </w:pPr>
            <w:r>
              <w:rPr>
                <w:rFonts w:hint="default" w:ascii="Times New Roman" w:hAnsi="Times New Roman" w:eastAsia="宋体" w:cs="Times New Roman"/>
                <w:color w:val="auto"/>
                <w:kern w:val="2"/>
                <w:sz w:val="21"/>
                <w:szCs w:val="21"/>
                <w:lang w:val="en-US" w:eastAsia="zh-CN" w:bidi="ar-SA"/>
              </w:rPr>
              <w:t>10．3760</w:t>
            </w:r>
            <w:r>
              <w:rPr>
                <w:rFonts w:hint="eastAsia" w:ascii="Times New Roman" w:hAnsi="Times New Roman" w:cs="Times New Roman"/>
                <w:color w:val="auto"/>
                <w:kern w:val="2"/>
                <w:sz w:val="21"/>
                <w:szCs w:val="21"/>
                <w:lang w:val="en-US" w:eastAsia="zh-CN" w:bidi="ar-SA"/>
              </w:rPr>
              <w:t>/</w:t>
            </w:r>
            <w:r>
              <w:rPr>
                <w:rFonts w:hint="default" w:ascii="Times New Roman" w:hAnsi="Times New Roman" w:eastAsia="宋体" w:cs="Times New Roman"/>
                <w:color w:val="auto"/>
                <w:kern w:val="2"/>
                <w:sz w:val="21"/>
                <w:szCs w:val="21"/>
                <w:lang w:val="en-US" w:eastAsia="zh-CN" w:bidi="ar-SA"/>
              </w:rPr>
              <w:t>cIm．j．issn．0253_3758．2017．11．007</w:t>
            </w:r>
          </w:p>
        </w:tc>
        <w:tc>
          <w:tcPr>
            <w:tcW w:w="975" w:type="dxa"/>
            <w:vAlign w:val="center"/>
          </w:tcPr>
          <w:p w14:paraId="3A3089C0">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2017-11-01</w:t>
            </w:r>
          </w:p>
        </w:tc>
        <w:tc>
          <w:tcPr>
            <w:tcW w:w="1245" w:type="dxa"/>
            <w:vAlign w:val="center"/>
          </w:tcPr>
          <w:p w14:paraId="0250E530">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中华心血管病杂志</w:t>
            </w:r>
          </w:p>
        </w:tc>
        <w:tc>
          <w:tcPr>
            <w:tcW w:w="1215" w:type="dxa"/>
            <w:vAlign w:val="center"/>
          </w:tcPr>
          <w:p w14:paraId="1526B786">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4ED43B20">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田野（第一）、杨龙（通讯）</w:t>
            </w:r>
          </w:p>
        </w:tc>
        <w:tc>
          <w:tcPr>
            <w:tcW w:w="810" w:type="dxa"/>
            <w:vAlign w:val="center"/>
          </w:tcPr>
          <w:p w14:paraId="75FFB5E4">
            <w:pPr>
              <w:spacing w:line="240" w:lineRule="auto"/>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78FAFC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62AE95D1">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规范</w:t>
            </w:r>
          </w:p>
        </w:tc>
        <w:tc>
          <w:tcPr>
            <w:tcW w:w="1964" w:type="dxa"/>
            <w:vAlign w:val="center"/>
          </w:tcPr>
          <w:p w14:paraId="64B4C604">
            <w:pPr>
              <w:keepNext w:val="0"/>
              <w:keepLines w:val="0"/>
              <w:widowControl/>
              <w:suppressLineNumbers w:val="0"/>
              <w:spacing w:line="240" w:lineRule="auto"/>
              <w:jc w:val="center"/>
              <w:rPr>
                <w:rFonts w:hint="eastAsia" w:ascii="宋体" w:hAnsi="宋体" w:eastAsia="宋体" w:cs="Times New Roman"/>
                <w:sz w:val="21"/>
                <w:szCs w:val="21"/>
              </w:rPr>
            </w:pPr>
            <w:r>
              <w:rPr>
                <w:rFonts w:hint="default" w:ascii="Times New Roman" w:hAnsi="Times New Roman" w:eastAsia="宋体" w:cs="Times New Roman"/>
                <w:color w:val="231F20"/>
                <w:kern w:val="0"/>
                <w:sz w:val="21"/>
                <w:szCs w:val="21"/>
                <w:lang w:val="en-US" w:eastAsia="zh-CN" w:bidi="ar"/>
              </w:rPr>
              <w:t>心房颤动节律控制药物规范应用专家共识</w:t>
            </w:r>
          </w:p>
        </w:tc>
        <w:tc>
          <w:tcPr>
            <w:tcW w:w="780" w:type="dxa"/>
            <w:vAlign w:val="center"/>
          </w:tcPr>
          <w:p w14:paraId="1F41232F">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5164FA51">
            <w:pPr>
              <w:keepNext w:val="0"/>
              <w:keepLines w:val="0"/>
              <w:widowControl/>
              <w:suppressLineNumbers w:val="0"/>
              <w:spacing w:line="240" w:lineRule="auto"/>
              <w:jc w:val="center"/>
              <w:rPr>
                <w:rFonts w:hint="eastAsia" w:ascii="宋体" w:hAnsi="宋体" w:eastAsia="宋体" w:cs="Times New Roman"/>
                <w:sz w:val="21"/>
                <w:szCs w:val="21"/>
              </w:rPr>
            </w:pPr>
            <w:r>
              <w:rPr>
                <w:rFonts w:hint="default" w:ascii="Times New Roman" w:hAnsi="Times New Roman" w:eastAsia="宋体" w:cs="Times New Roman"/>
                <w:color w:val="231F20"/>
                <w:kern w:val="0"/>
                <w:sz w:val="21"/>
                <w:szCs w:val="21"/>
                <w:lang w:val="en-US" w:eastAsia="zh-CN" w:bidi="ar"/>
              </w:rPr>
              <w:t>10.3760/cma.j.cn112138-20220402-00241</w:t>
            </w:r>
          </w:p>
        </w:tc>
        <w:tc>
          <w:tcPr>
            <w:tcW w:w="975" w:type="dxa"/>
            <w:vAlign w:val="center"/>
          </w:tcPr>
          <w:p w14:paraId="43025861">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2023-04-01</w:t>
            </w:r>
          </w:p>
        </w:tc>
        <w:tc>
          <w:tcPr>
            <w:tcW w:w="1245" w:type="dxa"/>
            <w:vAlign w:val="center"/>
          </w:tcPr>
          <w:p w14:paraId="71249589">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中华内科杂志</w:t>
            </w:r>
          </w:p>
        </w:tc>
        <w:tc>
          <w:tcPr>
            <w:tcW w:w="1215" w:type="dxa"/>
            <w:vAlign w:val="center"/>
          </w:tcPr>
          <w:p w14:paraId="72C18CB2">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164E357B">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杨龙（专家组成员）</w:t>
            </w:r>
          </w:p>
        </w:tc>
        <w:tc>
          <w:tcPr>
            <w:tcW w:w="810" w:type="dxa"/>
            <w:vAlign w:val="center"/>
          </w:tcPr>
          <w:p w14:paraId="2430128B">
            <w:pPr>
              <w:spacing w:line="200" w:lineRule="exact"/>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r w14:paraId="4B94AB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cantSplit/>
          <w:trHeight w:val="1021" w:hRule="atLeast"/>
          <w:jc w:val="center"/>
        </w:trPr>
        <w:tc>
          <w:tcPr>
            <w:tcW w:w="958" w:type="dxa"/>
            <w:vAlign w:val="center"/>
          </w:tcPr>
          <w:p w14:paraId="28C7B4FB">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规范</w:t>
            </w:r>
          </w:p>
        </w:tc>
        <w:tc>
          <w:tcPr>
            <w:tcW w:w="1964" w:type="dxa"/>
            <w:vAlign w:val="center"/>
          </w:tcPr>
          <w:p w14:paraId="6AAD6232">
            <w:pPr>
              <w:keepNext w:val="0"/>
              <w:keepLines w:val="0"/>
              <w:widowControl/>
              <w:suppressLineNumbers w:val="0"/>
              <w:spacing w:line="240" w:lineRule="auto"/>
              <w:jc w:val="center"/>
              <w:rPr>
                <w:rFonts w:hint="eastAsia" w:ascii="宋体" w:hAnsi="宋体" w:eastAsia="宋体" w:cs="Times New Roman"/>
                <w:sz w:val="21"/>
                <w:szCs w:val="21"/>
              </w:rPr>
            </w:pPr>
            <w:r>
              <w:rPr>
                <w:rFonts w:hint="default" w:ascii="Times New Roman" w:hAnsi="Times New Roman" w:eastAsia="宋体" w:cs="Times New Roman"/>
                <w:color w:val="231F20"/>
                <w:kern w:val="0"/>
                <w:sz w:val="21"/>
                <w:szCs w:val="21"/>
                <w:lang w:val="en-US" w:eastAsia="zh-CN" w:bidi="ar"/>
              </w:rPr>
              <w:t>抗心律失常药物临床应用中国专家共识</w:t>
            </w:r>
          </w:p>
        </w:tc>
        <w:tc>
          <w:tcPr>
            <w:tcW w:w="780" w:type="dxa"/>
            <w:vAlign w:val="center"/>
          </w:tcPr>
          <w:p w14:paraId="6B0C8D1A">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中国</w:t>
            </w:r>
          </w:p>
        </w:tc>
        <w:tc>
          <w:tcPr>
            <w:tcW w:w="975" w:type="dxa"/>
            <w:vAlign w:val="center"/>
          </w:tcPr>
          <w:p w14:paraId="4706AEA8">
            <w:pPr>
              <w:keepNext w:val="0"/>
              <w:keepLines w:val="0"/>
              <w:widowControl/>
              <w:suppressLineNumbers w:val="0"/>
              <w:spacing w:line="240" w:lineRule="auto"/>
              <w:jc w:val="center"/>
              <w:rPr>
                <w:rFonts w:hint="eastAsia" w:ascii="宋体" w:hAnsi="宋体" w:eastAsia="宋体" w:cs="Times New Roman"/>
                <w:sz w:val="21"/>
                <w:szCs w:val="21"/>
              </w:rPr>
            </w:pPr>
            <w:r>
              <w:rPr>
                <w:rFonts w:hint="default" w:ascii="Times New Roman" w:hAnsi="Times New Roman" w:eastAsia="宋体" w:cs="Times New Roman"/>
                <w:color w:val="231F20"/>
                <w:kern w:val="0"/>
                <w:sz w:val="21"/>
                <w:szCs w:val="21"/>
                <w:lang w:val="en-US" w:eastAsia="zh-CN" w:bidi="ar"/>
              </w:rPr>
              <w:t>10.3760/cma.j.cn112148-20230130-00047</w:t>
            </w:r>
          </w:p>
        </w:tc>
        <w:tc>
          <w:tcPr>
            <w:tcW w:w="975" w:type="dxa"/>
            <w:vAlign w:val="center"/>
          </w:tcPr>
          <w:p w14:paraId="5192379C">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lang w:val="en-US" w:eastAsia="zh-CN"/>
              </w:rPr>
              <w:t>2023-03-01</w:t>
            </w:r>
          </w:p>
        </w:tc>
        <w:tc>
          <w:tcPr>
            <w:tcW w:w="1245" w:type="dxa"/>
            <w:vAlign w:val="center"/>
          </w:tcPr>
          <w:p w14:paraId="548C57BF">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中华心血管病杂志</w:t>
            </w:r>
          </w:p>
        </w:tc>
        <w:tc>
          <w:tcPr>
            <w:tcW w:w="1215" w:type="dxa"/>
            <w:vAlign w:val="center"/>
          </w:tcPr>
          <w:p w14:paraId="67F8713A">
            <w:pPr>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b w:val="0"/>
                <w:bCs w:val="0"/>
                <w:i w:val="0"/>
                <w:iCs w:val="0"/>
                <w:caps w:val="0"/>
                <w:color w:val="auto"/>
                <w:spacing w:val="0"/>
                <w:sz w:val="21"/>
                <w:szCs w:val="21"/>
                <w:u w:val="none"/>
                <w:shd w:val="clear" w:fill="FFFFFF"/>
                <w:lang w:val="en-US" w:eastAsia="zh-CN"/>
              </w:rPr>
              <w:t>贵州省人民医院</w:t>
            </w:r>
          </w:p>
        </w:tc>
        <w:tc>
          <w:tcPr>
            <w:tcW w:w="1121" w:type="dxa"/>
            <w:vAlign w:val="center"/>
          </w:tcPr>
          <w:p w14:paraId="08F8FB42">
            <w:pPr>
              <w:pStyle w:val="3"/>
              <w:spacing w:line="240" w:lineRule="auto"/>
              <w:ind w:firstLine="0" w:firstLineChars="0"/>
              <w:jc w:val="center"/>
              <w:rPr>
                <w:rFonts w:hint="eastAsia" w:ascii="宋体" w:hAnsi="宋体" w:eastAsia="宋体" w:cs="Times New Roman"/>
                <w:sz w:val="21"/>
                <w:szCs w:val="21"/>
              </w:rPr>
            </w:pPr>
            <w:r>
              <w:rPr>
                <w:rFonts w:hint="default" w:ascii="Times New Roman" w:hAnsi="Times New Roman" w:eastAsia="宋体" w:cs="Times New Roman"/>
                <w:color w:val="auto"/>
                <w:sz w:val="21"/>
                <w:szCs w:val="21"/>
              </w:rPr>
              <w:t>杨龙（专家组成员）</w:t>
            </w:r>
          </w:p>
        </w:tc>
        <w:tc>
          <w:tcPr>
            <w:tcW w:w="810" w:type="dxa"/>
            <w:vAlign w:val="center"/>
          </w:tcPr>
          <w:p w14:paraId="7960976B">
            <w:pPr>
              <w:spacing w:line="200" w:lineRule="exact"/>
              <w:ind w:firstLine="0" w:firstLineChars="0"/>
              <w:jc w:val="center"/>
              <w:rPr>
                <w:rFonts w:hint="eastAsia" w:ascii="宋体" w:hAnsi="宋体" w:eastAsia="宋体" w:cs="Times New Roman"/>
                <w:sz w:val="21"/>
                <w:szCs w:val="21"/>
              </w:rPr>
            </w:pPr>
            <w:r>
              <w:rPr>
                <w:rFonts w:hint="eastAsia" w:asciiTheme="minorEastAsia" w:hAnsiTheme="minorEastAsia" w:eastAsiaTheme="minorEastAsia"/>
                <w:color w:val="000000"/>
                <w:sz w:val="21"/>
                <w:szCs w:val="21"/>
              </w:rPr>
              <w:t>其他有效的知识产权</w:t>
            </w:r>
          </w:p>
        </w:tc>
      </w:tr>
    </w:tbl>
    <w:p w14:paraId="6D55E865">
      <w:pPr>
        <w:numPr>
          <w:ilvl w:val="0"/>
          <w:numId w:val="0"/>
        </w:numPr>
        <w:spacing w:line="560" w:lineRule="exact"/>
        <w:ind w:left="2560" w:hanging="2560" w:hangingChars="800"/>
        <w:rPr>
          <w:rFonts w:hint="eastAsia" w:ascii="黑体" w:hAnsi="黑体" w:eastAsia="黑体"/>
          <w:sz w:val="32"/>
          <w:szCs w:val="32"/>
          <w:lang w:eastAsia="zh-CN"/>
        </w:rPr>
      </w:pPr>
    </w:p>
    <w:p w14:paraId="69C7F2B1">
      <w:pPr>
        <w:numPr>
          <w:ilvl w:val="0"/>
          <w:numId w:val="0"/>
        </w:numPr>
        <w:spacing w:line="560" w:lineRule="exact"/>
        <w:ind w:left="2560" w:hanging="2560" w:hangingChars="800"/>
        <w:rPr>
          <w:rFonts w:hint="eastAsia" w:ascii="仿宋_GB2312" w:hAnsi="黑体"/>
          <w:sz w:val="32"/>
          <w:szCs w:val="32"/>
        </w:rPr>
      </w:pPr>
      <w:r>
        <w:rPr>
          <w:rFonts w:hint="eastAsia" w:ascii="黑体" w:hAnsi="黑体" w:eastAsia="黑体"/>
          <w:sz w:val="32"/>
          <w:szCs w:val="32"/>
          <w:lang w:eastAsia="zh-CN"/>
        </w:rPr>
        <w:t>四、</w:t>
      </w:r>
      <w:r>
        <w:rPr>
          <w:rFonts w:hint="eastAsia" w:ascii="黑体" w:hAnsi="黑体" w:eastAsia="黑体"/>
          <w:sz w:val="32"/>
          <w:szCs w:val="32"/>
        </w:rPr>
        <w:t>主要完成人：</w:t>
      </w:r>
      <w:r>
        <w:rPr>
          <w:rFonts w:hint="eastAsia" w:ascii="仿宋_GB2312" w:hAnsi="黑体"/>
          <w:sz w:val="32"/>
          <w:szCs w:val="32"/>
        </w:rPr>
        <w:t>杨龙，田野，刘启方，蒋智，何炯红，田龙海，杨英</w:t>
      </w:r>
    </w:p>
    <w:p w14:paraId="167A41DD">
      <w:pPr>
        <w:numPr>
          <w:ilvl w:val="0"/>
          <w:numId w:val="0"/>
        </w:numPr>
        <w:spacing w:line="560" w:lineRule="exact"/>
        <w:rPr>
          <w:rFonts w:hint="eastAsia" w:ascii="仿宋_GB2312" w:hAnsi="黑体"/>
          <w:sz w:val="32"/>
          <w:szCs w:val="32"/>
        </w:rPr>
      </w:pPr>
      <w:r>
        <w:rPr>
          <w:rFonts w:hint="eastAsia" w:ascii="黑体" w:hAnsi="黑体" w:eastAsia="黑体"/>
          <w:sz w:val="32"/>
          <w:szCs w:val="32"/>
        </w:rPr>
        <w:t>五、主要完成单位：</w:t>
      </w:r>
      <w:r>
        <w:rPr>
          <w:rFonts w:hint="eastAsia" w:ascii="仿宋_GB2312" w:hAnsi="黑体"/>
          <w:sz w:val="32"/>
          <w:szCs w:val="32"/>
        </w:rPr>
        <w:t>贵州省人民医院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CC"/>
    <w:rsid w:val="0000088B"/>
    <w:rsid w:val="00037F03"/>
    <w:rsid w:val="00053899"/>
    <w:rsid w:val="000552E9"/>
    <w:rsid w:val="00072667"/>
    <w:rsid w:val="00080EE1"/>
    <w:rsid w:val="0008484E"/>
    <w:rsid w:val="000B35AE"/>
    <w:rsid w:val="00104415"/>
    <w:rsid w:val="001055A9"/>
    <w:rsid w:val="0013430A"/>
    <w:rsid w:val="0014690E"/>
    <w:rsid w:val="0018369A"/>
    <w:rsid w:val="001A4A3D"/>
    <w:rsid w:val="001C6D5A"/>
    <w:rsid w:val="001E1B34"/>
    <w:rsid w:val="002409AF"/>
    <w:rsid w:val="00275CA9"/>
    <w:rsid w:val="002838B6"/>
    <w:rsid w:val="002A7533"/>
    <w:rsid w:val="002C0BD9"/>
    <w:rsid w:val="002E70AA"/>
    <w:rsid w:val="00311648"/>
    <w:rsid w:val="00373ECC"/>
    <w:rsid w:val="003804CD"/>
    <w:rsid w:val="00384EEF"/>
    <w:rsid w:val="003A6694"/>
    <w:rsid w:val="003A6861"/>
    <w:rsid w:val="003B0D0F"/>
    <w:rsid w:val="003B4BCB"/>
    <w:rsid w:val="003B6FFE"/>
    <w:rsid w:val="003C06A0"/>
    <w:rsid w:val="0044377D"/>
    <w:rsid w:val="0046034F"/>
    <w:rsid w:val="00465940"/>
    <w:rsid w:val="00470DF0"/>
    <w:rsid w:val="0048624A"/>
    <w:rsid w:val="004A406A"/>
    <w:rsid w:val="004A5FDA"/>
    <w:rsid w:val="004B4E67"/>
    <w:rsid w:val="004C3B7C"/>
    <w:rsid w:val="004C464E"/>
    <w:rsid w:val="004D2169"/>
    <w:rsid w:val="005109E6"/>
    <w:rsid w:val="00515C08"/>
    <w:rsid w:val="00547CBF"/>
    <w:rsid w:val="005512D1"/>
    <w:rsid w:val="005517ED"/>
    <w:rsid w:val="00565CDB"/>
    <w:rsid w:val="005A295B"/>
    <w:rsid w:val="005D75A6"/>
    <w:rsid w:val="005E281E"/>
    <w:rsid w:val="005F0CA9"/>
    <w:rsid w:val="00600ABA"/>
    <w:rsid w:val="00615AED"/>
    <w:rsid w:val="00642878"/>
    <w:rsid w:val="00652F09"/>
    <w:rsid w:val="006A7E16"/>
    <w:rsid w:val="006B2E28"/>
    <w:rsid w:val="006C0831"/>
    <w:rsid w:val="006E05A0"/>
    <w:rsid w:val="006E5AB9"/>
    <w:rsid w:val="007117B2"/>
    <w:rsid w:val="00713E4D"/>
    <w:rsid w:val="00742833"/>
    <w:rsid w:val="00743CFF"/>
    <w:rsid w:val="007752AF"/>
    <w:rsid w:val="007A0822"/>
    <w:rsid w:val="007A4E28"/>
    <w:rsid w:val="007B6204"/>
    <w:rsid w:val="007B7B33"/>
    <w:rsid w:val="007D6FB7"/>
    <w:rsid w:val="007F6E17"/>
    <w:rsid w:val="00806DDE"/>
    <w:rsid w:val="00821185"/>
    <w:rsid w:val="00826404"/>
    <w:rsid w:val="00841482"/>
    <w:rsid w:val="00853B65"/>
    <w:rsid w:val="00853E89"/>
    <w:rsid w:val="008A0ED9"/>
    <w:rsid w:val="008A6272"/>
    <w:rsid w:val="008B079D"/>
    <w:rsid w:val="008B0FBD"/>
    <w:rsid w:val="008B24CD"/>
    <w:rsid w:val="008C782B"/>
    <w:rsid w:val="008E0947"/>
    <w:rsid w:val="008E3B62"/>
    <w:rsid w:val="008F053F"/>
    <w:rsid w:val="008F1FE0"/>
    <w:rsid w:val="009014D5"/>
    <w:rsid w:val="0093261A"/>
    <w:rsid w:val="00934D25"/>
    <w:rsid w:val="00953FF8"/>
    <w:rsid w:val="00956E5F"/>
    <w:rsid w:val="00973797"/>
    <w:rsid w:val="00986654"/>
    <w:rsid w:val="00997785"/>
    <w:rsid w:val="009A476C"/>
    <w:rsid w:val="009C7B83"/>
    <w:rsid w:val="009D3F80"/>
    <w:rsid w:val="00A02E31"/>
    <w:rsid w:val="00A075CA"/>
    <w:rsid w:val="00A109B4"/>
    <w:rsid w:val="00A42BBD"/>
    <w:rsid w:val="00A501EB"/>
    <w:rsid w:val="00AA7198"/>
    <w:rsid w:val="00AB0875"/>
    <w:rsid w:val="00AC440E"/>
    <w:rsid w:val="00AF735F"/>
    <w:rsid w:val="00B00426"/>
    <w:rsid w:val="00B01C30"/>
    <w:rsid w:val="00B1758C"/>
    <w:rsid w:val="00B23C86"/>
    <w:rsid w:val="00B27725"/>
    <w:rsid w:val="00B55DCC"/>
    <w:rsid w:val="00B602FF"/>
    <w:rsid w:val="00B611D3"/>
    <w:rsid w:val="00B84284"/>
    <w:rsid w:val="00BA003C"/>
    <w:rsid w:val="00BA4677"/>
    <w:rsid w:val="00BB6537"/>
    <w:rsid w:val="00BB7296"/>
    <w:rsid w:val="00BC55EB"/>
    <w:rsid w:val="00BD7117"/>
    <w:rsid w:val="00C07190"/>
    <w:rsid w:val="00C72217"/>
    <w:rsid w:val="00CA29D4"/>
    <w:rsid w:val="00CB2A12"/>
    <w:rsid w:val="00CB6261"/>
    <w:rsid w:val="00CC7DC7"/>
    <w:rsid w:val="00CE11C9"/>
    <w:rsid w:val="00CF61AA"/>
    <w:rsid w:val="00D107C5"/>
    <w:rsid w:val="00D16056"/>
    <w:rsid w:val="00D33724"/>
    <w:rsid w:val="00D3620E"/>
    <w:rsid w:val="00D7234F"/>
    <w:rsid w:val="00D74ED6"/>
    <w:rsid w:val="00D97E7E"/>
    <w:rsid w:val="00DA7DCC"/>
    <w:rsid w:val="00DC0BBE"/>
    <w:rsid w:val="00E4640F"/>
    <w:rsid w:val="00E659F0"/>
    <w:rsid w:val="00E90514"/>
    <w:rsid w:val="00EA7EFA"/>
    <w:rsid w:val="00EB19E3"/>
    <w:rsid w:val="00F045C4"/>
    <w:rsid w:val="00F23DBC"/>
    <w:rsid w:val="00F33C53"/>
    <w:rsid w:val="00F37C7A"/>
    <w:rsid w:val="00F50892"/>
    <w:rsid w:val="00F52788"/>
    <w:rsid w:val="00F8563D"/>
    <w:rsid w:val="00F86ED1"/>
    <w:rsid w:val="00F91214"/>
    <w:rsid w:val="00FA5737"/>
    <w:rsid w:val="00FB1F88"/>
    <w:rsid w:val="00FB4446"/>
    <w:rsid w:val="00FC521A"/>
    <w:rsid w:val="00FE1E74"/>
    <w:rsid w:val="00FF4F77"/>
    <w:rsid w:val="00FF6BB8"/>
    <w:rsid w:val="07561F05"/>
    <w:rsid w:val="0AFD46DE"/>
    <w:rsid w:val="10AD1E7C"/>
    <w:rsid w:val="29BF798D"/>
    <w:rsid w:val="371D4270"/>
    <w:rsid w:val="37E64902"/>
    <w:rsid w:val="3E5157CB"/>
    <w:rsid w:val="55C01E14"/>
    <w:rsid w:val="5BD112A2"/>
    <w:rsid w:val="7BD87850"/>
    <w:rsid w:val="7C6E3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28"/>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0"/>
    <w:pPr>
      <w:spacing w:after="120"/>
    </w:pPr>
    <w:rPr>
      <w:szCs w:val="20"/>
    </w:rPr>
  </w:style>
  <w:style w:type="paragraph" w:styleId="3">
    <w:name w:val="Plain Text"/>
    <w:basedOn w:val="1"/>
    <w:qFormat/>
    <w:uiPriority w:val="0"/>
    <w:pPr>
      <w:spacing w:line="360" w:lineRule="auto"/>
      <w:ind w:firstLine="480" w:firstLineChars="200"/>
    </w:pPr>
    <w:rPr>
      <w:rFonts w:ascii="仿宋_GB2312"/>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f0d60192-5371-49d1-8c6c-f6b684bb20f0</errorID>
      <errorWord>第一、</errorWord>
      <group>L1_Punc</group>
      <groupName>标点问题</groupName>
      <ability>L2_Punc</ability>
      <abilityName>标点符号检查</abilityName>
      <candidateList>
        <item>第一，</item>
      </candidateList>
      <explain>连接词前后不宜使用顿号，建议使用逗号。</explain>
      <paraID>4DAE6A9F</paraID>
      <start>3</start>
      <end>6</end>
      <status>ignored</status>
      <modifiedWord/>
      <trackRevisions>false</trackRevisions>
    </reviewItem>
  </reviewItems>
  <config/>
</contractReview>
</file>

<file path=customXml/itemProps1.xml><?xml version="1.0" encoding="utf-8"?>
<ds:datastoreItem xmlns:ds="http://schemas.openxmlformats.org/officeDocument/2006/customXml" ds:itemID="{b8a6b8f2-8fcd-4f37-8c97-51cc7dabbeb5}">
  <ds:schemaRefs/>
</ds:datastoreItem>
</file>

<file path=docProps/app.xml><?xml version="1.0" encoding="utf-8"?>
<Properties xmlns="http://schemas.openxmlformats.org/officeDocument/2006/extended-properties" xmlns:vt="http://schemas.openxmlformats.org/officeDocument/2006/docPropsVTypes">
  <Template>Normal.dotm</Template>
  <Pages>2</Pages>
  <Words>786</Words>
  <Characters>1779</Characters>
  <Lines>192</Lines>
  <Paragraphs>111</Paragraphs>
  <TotalTime>0</TotalTime>
  <ScaleCrop>false</ScaleCrop>
  <LinksUpToDate>false</LinksUpToDate>
  <CharactersWithSpaces>1873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2020-05-10T16:02:00Z</dcterms:created>
  <dc:creator>V</dc:creator>
  <cp:lastModifiedBy>杜</cp:lastModifiedBy>
  <dcterms:modified xsi:type="dcterms:W3CDTF">2026-01-30T09:14:39Z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eyJoZGlkIjoiYzA0YTAzYTkyNmM5NzU3ZGIyYWRiODVkZmJjYTYzZmEiLCJ1c2VySWQiOiI3NzIyNTI5NzkifQ==</vt:lpwstr>
  </property>
  <property fmtid="{D5CDD505-2E9C-101B-9397-08002B2CF9AE}" pid="3" name="KSOProductBuildVer">
    <vt:lpwstr>2052-12.1.0.24657</vt:lpwstr>
  </property>
  <property fmtid="{D5CDD505-2E9C-101B-9397-08002B2CF9AE}" pid="4" name="ICV">
    <vt:lpwstr>1380A155FEF145D0AACEE05BEA6D5EC1_13</vt:lpwstr>
  </property>
</Properties>
</file>