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7A8FC">
      <w:pPr>
        <w:spacing w:line="48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附件1：</w:t>
      </w:r>
    </w:p>
    <w:p w14:paraId="1A5D010F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贵州省区域医疗中心设备更新项目（一期）—项目13</w:t>
      </w:r>
    </w:p>
    <w:p w14:paraId="523CFE3F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采购设备主要技术参数要求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87"/>
        <w:gridCol w:w="1329"/>
        <w:gridCol w:w="4564"/>
        <w:gridCol w:w="1872"/>
      </w:tblGrid>
      <w:tr w14:paraId="64C5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E873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93" w:type="dxa"/>
            <w:vAlign w:val="center"/>
          </w:tcPr>
          <w:p w14:paraId="4B68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03" w:type="dxa"/>
            <w:vAlign w:val="center"/>
          </w:tcPr>
          <w:p w14:paraId="785E5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单价限价（万元）</w:t>
            </w:r>
          </w:p>
        </w:tc>
        <w:tc>
          <w:tcPr>
            <w:tcW w:w="4130" w:type="dxa"/>
            <w:vAlign w:val="center"/>
          </w:tcPr>
          <w:p w14:paraId="7A93D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1694" w:type="dxa"/>
            <w:vAlign w:val="center"/>
          </w:tcPr>
          <w:p w14:paraId="0A0FE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246A8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（国产/进口）</w:t>
            </w:r>
          </w:p>
        </w:tc>
      </w:tr>
      <w:tr w14:paraId="4FE5A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0AB0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93" w:type="dxa"/>
            <w:vAlign w:val="center"/>
          </w:tcPr>
          <w:p w14:paraId="3750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体外高频热疗机</w:t>
            </w:r>
          </w:p>
        </w:tc>
        <w:tc>
          <w:tcPr>
            <w:tcW w:w="1203" w:type="dxa"/>
            <w:vAlign w:val="center"/>
          </w:tcPr>
          <w:p w14:paraId="4AC7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130" w:type="dxa"/>
          </w:tcPr>
          <w:p w14:paraId="0C3B3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1.工作频率：915MHz±4MHz固态源、高阻抗 。</w:t>
            </w:r>
          </w:p>
          <w:p w14:paraId="0E513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2.输出功率：0-200W，能耗低。</w:t>
            </w:r>
          </w:p>
          <w:p w14:paraId="7D4D9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3.电压驻波比：≤3。   </w:t>
            </w:r>
          </w:p>
          <w:p w14:paraId="2200A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4.测温通道：多通道、高阻无扰、无损、实时测温35℃～45℃，精度≤0.2℃。</w:t>
            </w:r>
          </w:p>
          <w:p w14:paraId="1812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5.计算机控制台可实现对功率、时间、温度等实时检测和连续自控制功能。       </w:t>
            </w:r>
          </w:p>
          <w:p w14:paraId="4C8BD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6.负载能力：允许负载驻波系数≤4。</w:t>
            </w:r>
          </w:p>
          <w:p w14:paraId="1E83D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7.定时范围：0～90分钟，误差不大于定时时限的≤±3%。</w:t>
            </w:r>
          </w:p>
          <w:p w14:paraId="36AF2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8.功   耗：≤1000VA。</w:t>
            </w:r>
          </w:p>
          <w:p w14:paraId="44AB0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9.全身多体位辐射器≥4个满足临床需求：</w:t>
            </w:r>
          </w:p>
          <w:p w14:paraId="0B2CB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A.胸腹部肿瘤，壹个</w:t>
            </w:r>
          </w:p>
          <w:p w14:paraId="6EE6C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B.肢体部位肿瘤，壹个</w:t>
            </w:r>
          </w:p>
          <w:p w14:paraId="24EC4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C.头颈部淋巴肿瘤，壹个</w:t>
            </w:r>
          </w:p>
          <w:p w14:paraId="4C34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D.腔内肿瘤:，辐射器壹个</w:t>
            </w:r>
          </w:p>
          <w:p w14:paraId="30F57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11.具备高阻无干扰测温系统，测温范围25℃～50℃，可在微波、射频、高频电场等强电场环境中连续、实时测温。</w:t>
            </w:r>
          </w:p>
          <w:p w14:paraId="3021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12.具有可靠的安全保护功能（超温、最大功率输出限等），有自动报警，紧急自动停机功能，并且具有提示报警功能，尤其是电脑故障保护功能如：病毒，死机，干扰等，可手动紧急关机。</w:t>
            </w:r>
          </w:p>
          <w:p w14:paraId="29E43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16.治疗床：全电动操作，床长度≥2000mm，宽度≥650mm载重量≥180kg。</w:t>
            </w:r>
          </w:p>
          <w:p w14:paraId="61EB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17.辐射器悬挂装置：电动升降臂，垂直调节距离≥240mm，可进行垂直、水平位置调节，摆位方便。</w:t>
            </w:r>
          </w:p>
          <w:p w14:paraId="2AAF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18.软件： 全新升级热疗控制软件，WINDOWS 11操作系统，新增搜索功能，实时温度及功率监测。</w:t>
            </w:r>
          </w:p>
          <w:p w14:paraId="32BF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用于恶性肿瘤辅助治疗。</w:t>
            </w:r>
          </w:p>
          <w:p w14:paraId="5270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基本配置：控制台一套：包含CPU、主板、内存、控制器、显示器、打印机、鼠标键盘、治疗系统软件、控制面板、测温单元等，能够精准控制输出温度及功率。主机一套：包含控制电路、高频振荡电路、发射电路、电极控制系统、主机显示器、电极组件等，能够控制治疗床、上下极位置。治疗床：包含床板、床体、电动系统等。屏蔽网一套：用于治疗室电磁波屏蔽。</w:t>
            </w:r>
          </w:p>
          <w:p w14:paraId="36E9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应用场景：用于除颅内肿瘤的全身各部位肿瘤的治疗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1025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原厂质保期≥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3年</w:t>
            </w:r>
          </w:p>
        </w:tc>
        <w:tc>
          <w:tcPr>
            <w:tcW w:w="1694" w:type="dxa"/>
            <w:vAlign w:val="center"/>
          </w:tcPr>
          <w:p w14:paraId="62E4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5C70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5C24F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93" w:type="dxa"/>
            <w:vAlign w:val="center"/>
          </w:tcPr>
          <w:p w14:paraId="129E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微生物鉴定药敏分析仪</w:t>
            </w:r>
          </w:p>
        </w:tc>
        <w:tc>
          <w:tcPr>
            <w:tcW w:w="1203" w:type="dxa"/>
            <w:vAlign w:val="center"/>
          </w:tcPr>
          <w:p w14:paraId="04A4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130" w:type="dxa"/>
          </w:tcPr>
          <w:p w14:paraId="2D58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1.鉴定性能：配合不同的鉴定板条，仪器能对革兰阴性杆菌、革兰阳性球菌、嗜血杆菌、酵母菌、奈瑟氏菌、厌氧菌、棒状杆菌等进行鉴定。</w:t>
            </w:r>
          </w:p>
          <w:p w14:paraId="7912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2.药敏性能：≥8种获得NMPA认证的细菌和真菌药敏板条或卡片。</w:t>
            </w:r>
          </w:p>
          <w:p w14:paraId="28B4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.药敏板条和卡片可检测包括ESBL、庆大霉素高浓度、诱导克林霉素耐药、头孢西丁筛选等多种耐药机制。阳性菌药敏包含达托霉素、替考拉宁的药敏检测，阴性菌药敏包括头孢他啶/阿维巴坦、替加环素、粘菌素等药敏检测，真菌药敏包括米卡芬净、卡泊芬净等药敏检测。</w:t>
            </w:r>
          </w:p>
          <w:p w14:paraId="4A41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4.仪器能完成革兰阴性杆菌、革兰阳性球菌及肺炎链球菌的快速药敏试验(平均6-8小时)。</w:t>
            </w:r>
          </w:p>
          <w:p w14:paraId="6D86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5.仪器测试卡位≥60个。</w:t>
            </w:r>
          </w:p>
          <w:p w14:paraId="0A32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6.具备专家分析系统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可检测多种耐药机制，具备数据统计和储存功能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。</w:t>
            </w:r>
          </w:p>
          <w:p w14:paraId="2699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7.应用场景：用于临床感染病原微生物检测以及药敏试验，以便临床合理的选择抗菌素</w:t>
            </w:r>
          </w:p>
          <w:p w14:paraId="4B6A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10" w:hangingChars="100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原厂质保期≥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3年</w:t>
            </w:r>
          </w:p>
        </w:tc>
        <w:tc>
          <w:tcPr>
            <w:tcW w:w="1694" w:type="dxa"/>
            <w:vAlign w:val="center"/>
          </w:tcPr>
          <w:p w14:paraId="6547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</w:tr>
      <w:tr w14:paraId="03D7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88D6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93" w:type="dxa"/>
            <w:vAlign w:val="center"/>
          </w:tcPr>
          <w:p w14:paraId="5DF6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眼科手术显微镜</w:t>
            </w:r>
          </w:p>
        </w:tc>
        <w:tc>
          <w:tcPr>
            <w:tcW w:w="1203" w:type="dxa"/>
            <w:vAlign w:val="center"/>
          </w:tcPr>
          <w:p w14:paraId="1397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130" w:type="dxa"/>
          </w:tcPr>
          <w:p w14:paraId="1A519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视野调节：</w:t>
            </w:r>
          </w:p>
          <w:p w14:paraId="3AD62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视野直径：可调，范围5mm到50mm。双眼瞳距调节：范围55mm至75mm。</w:t>
            </w:r>
          </w:p>
          <w:p w14:paraId="4B377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焦距调节：</w:t>
            </w:r>
          </w:p>
          <w:p w14:paraId="7C8A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粗焦距调节：具有手动或电动调节。</w:t>
            </w:r>
          </w:p>
          <w:p w14:paraId="3E13E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细焦距调节：高精度电动系统，用于精细操作。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脚踏电动控制焦距调节，调节范围≥100mm</w:t>
            </w:r>
          </w:p>
          <w:p w14:paraId="50A66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配置内容：光学系统、照明系统、机械系统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光学系统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全复消色差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02A04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40" w:lineRule="exac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照明系统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冷光源，通过光纤传导，无热损失，亮度连续可</w:t>
            </w:r>
          </w:p>
          <w:p w14:paraId="37B8D9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40" w:lineRule="exac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调。</w:t>
            </w:r>
          </w:p>
          <w:p w14:paraId="5B10F3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40" w:lineRule="exac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机械系统：落地式支架，触摸屏控制，可储存≥20组用户。</w:t>
            </w:r>
          </w:p>
          <w:p w14:paraId="006D9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应用场景：</w:t>
            </w:r>
          </w:p>
          <w:p w14:paraId="4729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前节手术：如白内障摘除、青光眼手术、角膜移植，显微镜提供清晰的前节结构视图。</w:t>
            </w:r>
          </w:p>
          <w:p w14:paraId="5A8F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后节手术：如视网膜脱离修复、玻璃体切割，显微镜支持对眼后节的精准操作。</w:t>
            </w:r>
          </w:p>
          <w:p w14:paraId="0F947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细微手术：对于需要高精细操作的手术，如黄斑孔修复、视网膜剥除，显微镜可提供极高的细节清晰度。</w:t>
            </w:r>
          </w:p>
          <w:p w14:paraId="73D60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原厂质保期≥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3年</w:t>
            </w:r>
          </w:p>
        </w:tc>
        <w:tc>
          <w:tcPr>
            <w:tcW w:w="1694" w:type="dxa"/>
            <w:vAlign w:val="center"/>
          </w:tcPr>
          <w:p w14:paraId="7022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</w:t>
            </w:r>
          </w:p>
        </w:tc>
      </w:tr>
      <w:tr w14:paraId="45CE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D095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93" w:type="dxa"/>
            <w:vAlign w:val="center"/>
          </w:tcPr>
          <w:p w14:paraId="066A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内窥镜摄像系统</w:t>
            </w:r>
          </w:p>
        </w:tc>
        <w:tc>
          <w:tcPr>
            <w:tcW w:w="1203" w:type="dxa"/>
            <w:vAlign w:val="center"/>
          </w:tcPr>
          <w:p w14:paraId="0B9C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130" w:type="dxa"/>
          </w:tcPr>
          <w:p w14:paraId="249D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60" w:hanging="315" w:hangingChars="15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1、用于观察和评估女性子宫内膜、子宫腔、输卵管、卵巢的情况，同时也可进行相关治疗操作。</w:t>
            </w:r>
          </w:p>
          <w:p w14:paraId="635C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2、软硬件配置需求：</w:t>
            </w:r>
          </w:p>
          <w:p w14:paraId="4A74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（1）4K内窥镜摄像主机：1台，具备4K图像处理性能，像素≥800万；具有光谱染色功能，可以针对性地对黏膜层血管网进行深度透视，便于区分异形血管，辅助临床诊断；</w:t>
            </w:r>
          </w:p>
          <w:p w14:paraId="6FDE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（2）4K摄像头数量：1个；4K录像等功能设置，具有自动对焦功能；</w:t>
            </w:r>
          </w:p>
          <w:p w14:paraId="1A8C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（3）医用内窥镜冷光源数量：1台；LED灯泡工作寿命≥60000小时；光输出最大中心照度≥3000000LUX；</w:t>
            </w:r>
          </w:p>
          <w:p w14:paraId="204B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（4）宫腔镜数量：2条；直径4mm，30度视野方向，广角，工作长度≥300mm；</w:t>
            </w:r>
          </w:p>
          <w:p w14:paraId="4993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（5）半软性活检钳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根，5Fr，长度340mm；</w:t>
            </w:r>
          </w:p>
          <w:p w14:paraId="1679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（6）半软性抓钳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根，5Fr，长度340mm；</w:t>
            </w:r>
          </w:p>
          <w:p w14:paraId="5541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（7）半软性剪刀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根，5Fr，长度340mm；</w:t>
            </w:r>
          </w:p>
          <w:p w14:paraId="0306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（8）膨宫泵数量：1台；4K医用监视器数量：1台，4K医用LCD监视器，尺寸≥32英寸；支持4K60Hz超高清显示；医用台车数量：1台；</w:t>
            </w:r>
          </w:p>
          <w:p w14:paraId="31A46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双极电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切镜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手术系统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3A84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一、内窥镜</w:t>
            </w:r>
          </w:p>
          <w:p w14:paraId="44F31B3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视场角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</w:rPr>
              <w:t>65°</w:t>
            </w:r>
          </w:p>
          <w:p w14:paraId="0355908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视向角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</w:rPr>
              <w:t>12°</w:t>
            </w:r>
          </w:p>
          <w:p w14:paraId="50C5E6C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最大插入部外径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  <w:lang w:val="en-US" w:eastAsia="zh-Hans"/>
              </w:rPr>
              <w:t>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4mm、工作长度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  <w:p w14:paraId="7A41A25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景深范围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3mm~100mm</w:t>
            </w:r>
          </w:p>
          <w:p w14:paraId="7250043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可配套OLYMPUS、STORZ、WOLF、ACMI、STRYKER的导光束。</w:t>
            </w:r>
          </w:p>
          <w:p w14:paraId="4CCBF2E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低温等离子灭菌，或高温高压灭菌。</w:t>
            </w:r>
          </w:p>
          <w:p w14:paraId="7389B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外鞘、内鞘</w:t>
            </w:r>
          </w:p>
          <w:p w14:paraId="23E23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外鞘：外径26Fr，工作长度175～18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mm、内鞘：鞘套鞘唇外径24Fr</w:t>
            </w:r>
          </w:p>
          <w:p w14:paraId="05F3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双极切割环。 </w:t>
            </w:r>
          </w:p>
          <w:p w14:paraId="06361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  <w:t>射频等离子系统</w:t>
            </w:r>
          </w:p>
          <w:p w14:paraId="15AA673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7.0英寸LED液晶显示屏。</w:t>
            </w:r>
          </w:p>
          <w:p w14:paraId="2D1EAAE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具有自动检测刀头和附件连接功能。</w:t>
            </w:r>
          </w:p>
          <w:p w14:paraId="6FCC1EC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具有故障自动检测显示和报警提示。</w:t>
            </w:r>
          </w:p>
          <w:p w14:paraId="4E3C540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使用双脚踏控制</w:t>
            </w:r>
          </w:p>
          <w:p w14:paraId="4DF1BC8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40" w:lineRule="exact"/>
              <w:ind w:left="0" w:leftChars="0" w:firstLine="420" w:firstLineChars="20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低温微创。</w:t>
            </w:r>
          </w:p>
          <w:p w14:paraId="7302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60" w:hanging="315" w:hangingChars="15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应用场景：</w:t>
            </w:r>
          </w:p>
          <w:p w14:paraId="2CE2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60" w:hanging="315" w:hangingChars="15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（1）子宫内膜：宫腔镜检查可以直接观察子宫内膜的形态、颜色、厚度和血管分布等情况，可以用于评估子宫内膜的健康状况、排除内膜息肉以及子宫内膜异位症等疾病。</w:t>
            </w:r>
          </w:p>
          <w:p w14:paraId="27AC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2）子宫腔：宫腔镜检查可以评估子宫腔的大小、形态和结构。它可以帮助检测子宫内膜息肉、子宫肌瘤、子宫内膜异位症、子宫内膜癌等疾病。此外，宫腔镜还可以检查子宫腔内的粘连、畸形和其他异常情况。</w:t>
            </w:r>
          </w:p>
          <w:p w14:paraId="1759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（3）输卵管：宫腔镜检查可以通过输卵管口观察输卵管的通畅性和形态，可用于评估输卵管是否存在阻塞、炎症或其他异常情况。宫腔镜检查还可以进行输卵管造影，通过注入造影剂来评估输卵管的通畅性。</w:t>
            </w:r>
          </w:p>
          <w:p w14:paraId="2C19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（4）卵巢：宫腔镜检查可以观察卵巢的大小、形态和结构。它可以帮助检测卵巢囊肿、卵巢肿瘤、卵巢炎症等疾病。此外，宫腔镜还可以进行卵巢活检，获取卵巢组织进行病理学检查。</w:t>
            </w:r>
          </w:p>
          <w:p w14:paraId="738C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（5）治疗操作：此外，宫腔镜还可以进行一些治疗操作，如子宫内膜刮宫、子宫肌瘤切除、子宫腔粘连松解等。</w:t>
            </w:r>
          </w:p>
          <w:p w14:paraId="33B1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80" w:hanging="420" w:hanging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原厂质保期≥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3年</w:t>
            </w:r>
            <w:bookmarkStart w:id="0" w:name="_GoBack"/>
            <w:bookmarkEnd w:id="0"/>
          </w:p>
        </w:tc>
        <w:tc>
          <w:tcPr>
            <w:tcW w:w="1694" w:type="dxa"/>
            <w:vAlign w:val="center"/>
          </w:tcPr>
          <w:p w14:paraId="1ABC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</w:tbl>
    <w:p w14:paraId="53D84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6768F"/>
    <w:multiLevelType w:val="singleLevel"/>
    <w:tmpl w:val="9C1676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84069B4"/>
    <w:multiLevelType w:val="singleLevel"/>
    <w:tmpl w:val="384069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A475704"/>
    <w:multiLevelType w:val="singleLevel"/>
    <w:tmpl w:val="5A4757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779E"/>
    <w:rsid w:val="1CCC3DE8"/>
    <w:rsid w:val="1E3E3586"/>
    <w:rsid w:val="2E32731D"/>
    <w:rsid w:val="2F1A0783"/>
    <w:rsid w:val="31A777F1"/>
    <w:rsid w:val="340651EA"/>
    <w:rsid w:val="4D09779E"/>
    <w:rsid w:val="4EF327F5"/>
    <w:rsid w:val="50633173"/>
    <w:rsid w:val="65442712"/>
    <w:rsid w:val="65E953C7"/>
    <w:rsid w:val="68D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2357</Words>
  <Characters>2592</Characters>
  <Lines>0</Lines>
  <Paragraphs>0</Paragraphs>
  <TotalTime>0</TotalTime>
  <ScaleCrop>false</ScaleCrop>
  <LinksUpToDate>false</LinksUpToDate>
  <CharactersWithSpaces>2611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2024-11-25T10:13:00Z</dcterms:created>
  <dc:creator>卫虹招标</dc:creator>
  <cp:lastModifiedBy>小六班</cp:lastModifiedBy>
  <cp:lastPrinted>2024-11-25T10:17:00Z</cp:lastPrinted>
  <dcterms:modified xsi:type="dcterms:W3CDTF">2024-12-03T09:47:56Z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12051363C7394D109172C784CDF7C4FE_13</vt:lpwstr>
  </property>
</Properties>
</file>