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t>贵州省2023年食品安全地方标准预立项计划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137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337"/>
        <w:gridCol w:w="2350"/>
        <w:gridCol w:w="6100"/>
        <w:gridCol w:w="2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标题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制修订情况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辣子鸡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修订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贵州省产品质量检验检测院、贵州省息烽叶老大阳郎辣子鸡食昌有限公司、贵州五福坊食品（集团）股份有限公司、贵州龙膳香坊食品有限公司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食品产品类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八月瓜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修订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铜仁市疾病预防控制中心、贵州农业职业学院、贵州省疾病预防控制中心、石阡县绿野康农牧专业合作社、贵州省农业科学院、瓮安县文鸿特色农业有限公司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食品产品类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冷泡茶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凉都春惠农产业（集团）股份有限公司、贵州大学、贵州省茶叶研究所、贵州省产品质量检验检测院、六盘水市市场监督管理局、六盘水高新技术产业开发区分局、贵州凉都饮品科技有限公司、贵州绿茶科技发展有限公司、贵州源食饮品实业有限公司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食品产品类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灰粽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贵州省产品质量检验检测院、贵州龙膳香坊食品有限公司、贵州胖四娘食品有限公司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食品产品类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魔芋凝胶制品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贵州省产品质量检验检测院、六盘水魔宇食品有限公司、贵州玉梦食品（集团）有限公司、贵州中意食品有限责任公司、贵州酷小贝食品有限公司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食品产品类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酸菜蹄膀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贵州省食品检验检测院、贵州省产品质量检验检测院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食品产品类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木姜子油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制定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贵州省产品质量检验检测院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食品产品类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mRhMDg4Zjc5MTE5NmNmZjI1M2UyN2Q2YzA0MGYifQ=="/>
  </w:docVars>
  <w:rsids>
    <w:rsidRoot w:val="00000000"/>
    <w:rsid w:val="1F8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2023-10-26T09:24:30Z</dcterms:created>
  <dc:creator>Administrator.USER-20190311OI</dc:creator>
  <cp:lastModifiedBy>刘某</cp:lastModifiedBy>
  <dcterms:modified xsi:type="dcterms:W3CDTF">2023-10-26T09:26:26Z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C63E5F70ACBB40B2A9FB5D9CE6B5CA6E_12</vt:lpwstr>
  </property>
</Properties>
</file>