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textAlignment w:val="auto"/>
        <w:rPr>
          <w:rFonts w:hint="eastAsia" w:eastAsia="黑体"/>
          <w:strike w:val="0"/>
          <w:dstrike w:val="0"/>
          <w:color w:val="auto"/>
          <w:sz w:val="32"/>
        </w:rPr>
      </w:pPr>
      <w:r>
        <w:rPr>
          <w:rFonts w:hint="eastAsia" w:eastAsia="黑体"/>
          <w:strike w:val="0"/>
          <w:dstrike w:val="0"/>
          <w:color w:val="auto"/>
          <w:sz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6"/>
          <w:szCs w:val="24"/>
        </w:rPr>
        <w:t>贵州省202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6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6"/>
          <w:szCs w:val="24"/>
        </w:rPr>
        <w:t>年高级卫生专业技术资格考试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eastAsia="方正小标宋简体"/>
          <w:strike w:val="0"/>
          <w:dstrike w:val="0"/>
          <w:color w:val="auto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6"/>
          <w:szCs w:val="24"/>
        </w:rPr>
        <w:t>专业设置一览表（113个）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2675"/>
        <w:gridCol w:w="543"/>
        <w:gridCol w:w="2926"/>
        <w:gridCol w:w="519"/>
        <w:gridCol w:w="2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专业编码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专业名称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专业编码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专业名称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专业编码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bookmarkStart w:id="0" w:name="OLE_LINK1" w:colFirst="0" w:colLast="5"/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心血管内科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040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临床医学检验临床化学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中医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皮肤科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呼吸内科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临床医学检验临床免疫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080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中医肛肠科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消化内科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临床医学检验临床血液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推拿科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肾内科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临床医学检验临床微生物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神经内科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044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临床营养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职业卫生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内分泌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045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医院药学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084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环境卫生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血液病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临床药学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085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营养与食品卫生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传染病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护理学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学校卫生与儿少卫生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风湿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048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内科护理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087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放射卫生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011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普通外科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049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外科护理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088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传染性疾病控制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妇产科护理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慢性非传染性疾病控制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胸心外科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儿科护理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090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寄生虫病控制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神经外科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病理学技术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健康教育与健康促进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泌尿外科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放射医学技术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卫生毒理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烧伤外科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超声医学技术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妇女保健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整形外科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核医学技术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儿童保健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小儿外科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康复医学治疗技术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微生物检验技术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妇产科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临床医学检验临床基础检验技术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理化检验技术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小儿内科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临床医学检验临床化学技术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病媒生物控制技术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口腔医学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临床医学检验临床免疫技术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病案信息技术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口腔内科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临床医学检验临床血液技术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口腔颌面外科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临床医学检验临床微生物技术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地方病控制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口腔修复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普通内科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消毒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口腔正畸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结核病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输血技术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眼科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老年医学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药物分析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耳鼻喉（头颈外科）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职业病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心电图技术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皮肤与性病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计划生育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脑电图技术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肿瘤内科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精神病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全科医学（中医类）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肿瘤外科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全科医学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中医肿瘤学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放射肿瘤治疗学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临床医学检验技术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中西医结合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内科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急诊医学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中医内科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中西医结合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外科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033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麻醉学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中医外科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中西医结合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病理学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中医妇科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中西医结合儿科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放射医学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中医儿科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介入治疗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核医学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075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中医眼科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重症医学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超声医学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中医骨伤科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038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康复医学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077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针灸科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125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疼痛学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039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临床医学检验临床基础检验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078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中医耳鼻喉科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t>贵州省2023年卫生专业技术高级职务任职资格申报评审专业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t>（申报评审专业与申报实践能力考试专业之间对应关系表）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</w:p>
    <w:tbl>
      <w:tblPr>
        <w:tblStyle w:val="8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575"/>
        <w:gridCol w:w="1825"/>
        <w:gridCol w:w="1070"/>
        <w:gridCol w:w="2000"/>
        <w:gridCol w:w="950"/>
        <w:gridCol w:w="104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9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24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申报评审专业</w:t>
            </w:r>
          </w:p>
        </w:tc>
        <w:tc>
          <w:tcPr>
            <w:tcW w:w="307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考试对应专业及代码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职称职务</w:t>
            </w:r>
          </w:p>
        </w:tc>
        <w:tc>
          <w:tcPr>
            <w:tcW w:w="315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医师</w:t>
            </w: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</w:t>
            </w: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类别及</w:t>
            </w: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省内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省内专业名称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国家代码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国家专业考试专业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bidi="ar"/>
              </w:rPr>
              <w:t>执业类别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（22个）</w:t>
            </w: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001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002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心血管内科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心血管内科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003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呼吸内科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002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呼吸内科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004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消化内科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消化内科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005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肾内科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004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肾内科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006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神经内科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005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神经内科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007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内分泌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006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内分泌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008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血液病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007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血液病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009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传染病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传染病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010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结核病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064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结核病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风湿与临床免疫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009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风湿病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012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儿内科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020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小儿内科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儿科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013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精神病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精神病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精神卫生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、内科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014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心理治疗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精神病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医师／技师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精神卫生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、内科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015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老年医学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065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老年医学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016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急诊内科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032/063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急诊医学/普通内科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急救医学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、内科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017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重症医学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120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重症医学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重症医学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018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皮肤病与性病（临床）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皮肤与性病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皮肤病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与性病专业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019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肿瘤内科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029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肿瘤内科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内科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020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肿瘤放射治疗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放射肿瘤治疗学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医学影像和放射治疗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021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022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康复医学治疗技术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056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康复医学治疗技术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59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（17个）</w:t>
            </w: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023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024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025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肝胆外科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026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肛肠外科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027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骨外科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012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骨外科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028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胸外科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胸心外科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029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心血管外科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胸心外科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030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014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神经外科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031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015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泌尿外科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032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儿外科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小儿外科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儿科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033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烧伤外科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016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烧伤外科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034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整形外科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017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整形外科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035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肿瘤外科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030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肿瘤外科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036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麻醉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麻醉学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专业、麻醉专业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037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疼痛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疼痛学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038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急诊外科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032/011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急诊医学/普通外科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急救医学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、外科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039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运动医学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011/012/038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普通外科、骨外科、康复医学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康复医学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专业、外科专业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9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全科医学系列（2个）</w:t>
            </w: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040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069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9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15"/>
                <w:szCs w:val="15"/>
              </w:rPr>
            </w:pPr>
          </w:p>
        </w:tc>
        <w:tc>
          <w:tcPr>
            <w:tcW w:w="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041</w:t>
            </w:r>
          </w:p>
        </w:tc>
        <w:tc>
          <w:tcPr>
            <w:tcW w:w="18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中医全科</w:t>
            </w:r>
          </w:p>
        </w:tc>
        <w:tc>
          <w:tcPr>
            <w:tcW w:w="10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113</w:t>
            </w:r>
          </w:p>
        </w:tc>
        <w:tc>
          <w:tcPr>
            <w:tcW w:w="20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全科医学（中医类）</w:t>
            </w:r>
          </w:p>
        </w:tc>
        <w:tc>
          <w:tcPr>
            <w:tcW w:w="9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10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1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bidi="ar"/>
              </w:rPr>
              <w:t>全科医学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</w:tbl>
    <w:p>
      <w:pPr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贵州省202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年卫生专业技术高级职务任职资格申报评审专业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（申报评审专业与申报实践能力考试专业之间对应关系表）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791"/>
        <w:gridCol w:w="1553"/>
        <w:gridCol w:w="843"/>
        <w:gridCol w:w="2675"/>
        <w:gridCol w:w="816"/>
        <w:gridCol w:w="98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6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申报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类别</w:t>
            </w:r>
          </w:p>
        </w:tc>
        <w:tc>
          <w:tcPr>
            <w:tcW w:w="234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申报评审专业</w:t>
            </w:r>
          </w:p>
        </w:tc>
        <w:tc>
          <w:tcPr>
            <w:tcW w:w="351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考试对应专业及代码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职称职务</w:t>
            </w:r>
          </w:p>
        </w:tc>
        <w:tc>
          <w:tcPr>
            <w:tcW w:w="3201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医师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eastAsia="zh-CN" w:bidi="ar"/>
              </w:rPr>
              <w:t>执业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类别及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eastAsia="zh-CN" w:bidi="ar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省内代码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省内专业名称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国家代码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国家专业考试专业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类别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bidi="ar"/>
              </w:rPr>
              <w:t>执业类别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5"/>
                <w:szCs w:val="15"/>
                <w:lang w:eastAsia="zh-CN" w:bidi="ar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系列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（5个）</w:t>
            </w: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042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019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043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产科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019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044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019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045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计划生育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067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计划生育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计划生育技术服务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046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生殖医学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019/015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妇产科、泌尿外科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、外科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系列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（14个）</w:t>
            </w: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047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中医内科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071/114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中医内科、中医肿瘤学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048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中医妇科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073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中医妇科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中医儿科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中医儿科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中医针灸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077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针灸科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中医眼科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075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中医眼科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中医耳鼻咽喉科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078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中医耳鼻喉科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中医皮肤病与性病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中医皮肤科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中医推拿（按摩）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081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推拿科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中医外科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072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中医外科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中医肛肠科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080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中医肛肠科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中医骨伤科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076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中医骨伤科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中西医结合内科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115/117/118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1"/>
                <w:szCs w:val="11"/>
                <w:lang w:bidi="ar"/>
              </w:rPr>
              <w:t>中西医结合内科、中西医结合妇科、中西医结合儿科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中西医结合外科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116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中西医结合外科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中西医结合骨伤科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076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中医骨伤科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中医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中西医结合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眼耳鼻喉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口腔系列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（8个）</w:t>
            </w: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眼科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026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眼科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眼耳鼻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咽喉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耳鼻咽喉科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027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耳鼻喉(头颈外科)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眼耳鼻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咽喉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口腔医学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021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口腔医学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口腔内科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022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口腔内科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口腔颌面外科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023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口腔颌面外科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口腔修复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口腔修复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口腔正畸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025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口腔正畸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口腔医学技术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099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口腔医学技术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医辅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系列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（1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个）</w:t>
            </w: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临床医学检验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039至043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1"/>
                <w:szCs w:val="1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1"/>
                <w:szCs w:val="11"/>
                <w:lang w:bidi="ar"/>
              </w:rPr>
              <w:t>临床医学检验临床基础检验、临床医学检验临床化学、临床医学检验临床免疫、临床医学检验临床血液、临床医学检验临床微生物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医学检验、病理专业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临床医学检验技术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057至061、070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1"/>
                <w:szCs w:val="1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1"/>
                <w:szCs w:val="11"/>
                <w:lang w:bidi="ar"/>
              </w:rPr>
              <w:t>临床医学检验临床基础检验技术、临床医学检验临床化学技术、临床医学检验临床免疫技术、临床医学检验临床血液技术、临床医学检验临床微生物技术、临床医学检验技术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071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输血技术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109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输血技术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072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病理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034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病理学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医学检验、病理专业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073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病理技术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052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病理学技术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074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放射诊断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035/119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放射医学，介入治疗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医学影像和放射治疗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075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放射技术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053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放射医学技术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076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超声波诊断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037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超声医学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医学影像和放射治疗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077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超声波技术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054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超声医学技术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078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核医学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036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核医学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医师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临床</w:t>
            </w: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特种医学与军事医学专业、医学影像和放射治疗专业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079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核医学技术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055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核医学技术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080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心电技术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111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心电图技术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081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神经电生理技术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脑电图技术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082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卫生信息技术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098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病案信息技术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083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病案信息技术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098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病案信息技术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107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营养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044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临床营养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108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消毒技术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108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消毒技术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109</w:t>
            </w:r>
          </w:p>
        </w:tc>
        <w:tc>
          <w:tcPr>
            <w:tcW w:w="1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病媒生物控制技术</w:t>
            </w:r>
          </w:p>
        </w:tc>
        <w:tc>
          <w:tcPr>
            <w:tcW w:w="84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val="en-US" w:eastAsia="zh-CN" w:bidi="ar"/>
              </w:rPr>
              <w:t>097</w:t>
            </w:r>
          </w:p>
        </w:tc>
        <w:tc>
          <w:tcPr>
            <w:tcW w:w="26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  <w:t>病媒生物控制技术</w:t>
            </w:r>
          </w:p>
        </w:tc>
        <w:tc>
          <w:tcPr>
            <w:tcW w:w="81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技师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  <w:tc>
          <w:tcPr>
            <w:tcW w:w="22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t>贵州省2023年卫生专业技术高级职务任职资格申报评审专业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t>（申报评审专业与申报实践能力考试专业之间对应关系表）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771"/>
        <w:gridCol w:w="1817"/>
        <w:gridCol w:w="1145"/>
        <w:gridCol w:w="2170"/>
        <w:gridCol w:w="1054"/>
        <w:gridCol w:w="1243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申报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申报评审专业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考试对应专业及代码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职称职务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医师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类别及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注册专业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省内代码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省内专业名称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国家代码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国家专业考试专业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bidi="ar"/>
              </w:rPr>
              <w:t>执业类别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注册专业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预防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医学类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（19个）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公共卫生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083/084/085/086/087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职业卫生、环境卫生、营养与食品卫生、学校卫生与儿少卫生、放射卫生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职业病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066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职业病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临床、公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职业病专业、公共卫生类别专业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健康教育与促进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健康教育与健康促进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职业卫生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职业卫生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环境卫生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环境卫生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营养与食品卫生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营养与食品卫生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学校卫生与儿少卫生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学校卫生与儿少卫生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放射卫生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放射卫生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传染性疾病控制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传染性疾病控制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慢性非传染性疾病控制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089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慢性非传染性疾病控制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地方病控制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地方病控制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寄生虫病控制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寄生虫病控制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皮肤病与性病（预防）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028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皮肤与性病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妇女保健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妇女保健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临床、公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妇产科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、公共卫生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儿童保健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儿童保健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临床、公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eastAsia="zh-CN" w:bidi="ar"/>
              </w:rPr>
              <w:t>共卫生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儿科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专业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、公共卫生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eastAsia="zh-CN" w:bidi="ar"/>
              </w:rPr>
              <w:t>类别专业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卫生检验技术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095/096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微生物检验技术、理化检验技术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技师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卫生毒理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卫生毒理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技师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微生物检验技术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微生物检验技术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技师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理化检验技术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096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理化检验技术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技师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药学类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（3个）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医院药学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045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/110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医院药学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、药物分析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药师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临床药学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046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/110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临床药学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、药物分析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药师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中药学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082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/110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中药学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、药物分析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药师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护理学类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5"/>
                <w:szCs w:val="15"/>
                <w:lang w:bidi="ar"/>
              </w:rPr>
              <w:t>（1个）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047/048/049/050/051/121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护理学（内、外、妇、儿、中医）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护师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注册执业护士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18"/>
                <w:szCs w:val="18"/>
                <w:lang w:bidi="ar"/>
              </w:rPr>
              <w:t>护士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titlePg/>
          <w:rtlGutter w:val="0"/>
          <w:docGrid w:type="linesAndChars" w:linePitch="579" w:charSpace="-842"/>
        </w:sectPr>
      </w:pPr>
    </w:p>
    <w:p>
      <w:pPr>
        <w:rPr>
          <w:rFonts w:hint="eastAsia" w:ascii="黑体" w:hAnsi="黑体" w:eastAsia="黑体"/>
          <w:color w:val="auto"/>
        </w:rPr>
      </w:pPr>
      <w:r>
        <w:rPr>
          <w:rFonts w:ascii="黑体" w:hAnsi="黑体" w:eastAsia="黑体"/>
          <w:color w:val="auto"/>
        </w:rPr>
        <w:t>附件</w:t>
      </w:r>
      <w:r>
        <w:rPr>
          <w:rFonts w:hint="eastAsia" w:ascii="黑体" w:hAnsi="黑体" w:eastAsia="黑体"/>
          <w:color w:val="auto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贵州省202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年申报卫生系列副高级基层评审认定专业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802"/>
        <w:gridCol w:w="1190"/>
        <w:gridCol w:w="945"/>
        <w:gridCol w:w="236"/>
        <w:gridCol w:w="544"/>
        <w:gridCol w:w="2159"/>
        <w:gridCol w:w="1022"/>
        <w:gridCol w:w="1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01" w:leftChars="-32" w:right="-72" w:rightChars="-23" w:firstLine="1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省内评审专业名称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2" w:leftChars="-43" w:right="-79" w:rightChars="-25" w:hanging="133" w:hangingChars="76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01" w:leftChars="-32" w:right="-72" w:rightChars="-23" w:firstLine="1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对应考试</w:t>
            </w:r>
          </w:p>
          <w:p>
            <w:pPr>
              <w:widowControl/>
              <w:spacing w:line="0" w:lineRule="atLeast"/>
              <w:ind w:left="-101" w:leftChars="-32" w:right="-72" w:rightChars="-23" w:firstLine="1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01" w:leftChars="-32" w:right="-72" w:rightChars="-23" w:firstLine="1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省内评审专业名称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01" w:leftChars="-32" w:right="-211" w:rightChars="-67" w:firstLine="1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执业类别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01" w:leftChars="-32" w:right="-72" w:rightChars="-23" w:firstLine="1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对应考试</w:t>
            </w:r>
          </w:p>
          <w:p>
            <w:pPr>
              <w:widowControl/>
              <w:spacing w:line="0" w:lineRule="atLeast"/>
              <w:ind w:left="-101" w:leftChars="-32" w:right="-72" w:rightChars="-23" w:firstLine="1" w:firstLineChars="1"/>
              <w:jc w:val="center"/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kern w:val="0"/>
                <w:sz w:val="18"/>
                <w:szCs w:val="18"/>
              </w:rPr>
              <w:t>专业代码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全科医学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069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临床药学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中医全科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内科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063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传染性疾病控制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传染病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008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29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慢性非传染性疾病控制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儿科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020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地方病控制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儿童保健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31" w:leftChars="-2" w:right="-79" w:rightChars="-25" w:hanging="37" w:hangingChars="21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临床、公卫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094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31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寄生虫病控制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外科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011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皮肤病与性病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普通外科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011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33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结核病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31" w:leftChars="-2" w:right="-79" w:rightChars="-25" w:hanging="37" w:hangingChars="21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临床、公卫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骨外科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012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公卫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74" w:leftChars="-58" w:right="-180" w:rightChars="-57" w:hanging="109" w:hangingChars="74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083/084/085</w:t>
            </w:r>
          </w:p>
          <w:p>
            <w:pPr>
              <w:widowControl/>
              <w:spacing w:line="0" w:lineRule="atLeast"/>
              <w:ind w:left="-74" w:leftChars="-58" w:right="-180" w:rightChars="-57" w:hanging="109" w:hangingChars="74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/086/087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033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眼科学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妇科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019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产科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019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37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妇产科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019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38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口腔内科学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妇女保健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31" w:leftChars="-2" w:right="-79" w:rightChars="-25" w:hanging="37" w:hangingChars="21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临床、公卫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093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39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口腔颌面外科学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计划生育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067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口腔医学技术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中医内科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071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41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中医外科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072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42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病理学技术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67" w:leftChars="-53" w:right="-22" w:rightChars="-7" w:firstLine="78" w:firstLineChars="44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中医妇科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073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43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放射诊断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中医儿科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074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44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放射技术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中医骨伤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076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45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超声波诊断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中医针灸学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077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46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超声波技术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中西医结合内科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0" w:leftChars="-48" w:right="-164" w:rightChars="-52" w:hanging="151" w:hangingChars="86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115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lang w:bidi="ar"/>
              </w:rPr>
              <w:t>/117/118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47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临床医学检验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039至043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23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中西医结合外科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0" w:leftChars="-48" w:right="-164" w:rightChars="-52" w:hanging="151" w:hangingChars="86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116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临床医学检验技术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74" w:leftChars="-58" w:right="-180" w:rightChars="-57" w:hanging="109" w:hangingChars="74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057至061、070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中西医结合骨伤科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-48" w:right="-164" w:rightChars="-52" w:hanging="151" w:hangingChars="86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中医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076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49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病案信息技术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医院药学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045</w:t>
            </w:r>
          </w:p>
        </w:tc>
        <w:tc>
          <w:tcPr>
            <w:tcW w:w="2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2" w:right="-22" w:rightChars="-7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护理学</w:t>
            </w:r>
          </w:p>
          <w:p>
            <w:pPr>
              <w:spacing w:line="0" w:lineRule="atLeast"/>
              <w:ind w:left="2" w:right="-22" w:rightChars="-7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（按照聘用中级资格对应相应考试专业代码报考）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  <w:t>护士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22" w:rightChars="-7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15"/>
                <w:szCs w:val="15"/>
              </w:rPr>
              <w:t>047、048、049、050、051、121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701" w:left="1587" w:header="851" w:footer="1417" w:gutter="0"/>
          <w:pgNumType w:fmt="decimal"/>
          <w:cols w:space="0" w:num="1"/>
          <w:rtlGutter w:val="0"/>
          <w:docGrid w:type="linesAndChars" w:linePitch="579" w:charSpace="-842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贵州省2023年高级卫生专业技术资格考试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考生报名现场确认注意事项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一、现场确认时考生须提交下列材料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（一）经单位人事部门或档案存放单位审查盖章后的《高级卫生专业技术资格考试报名表》（从网上填报提交后打印）。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（二）按照报名条件要求，应提交的相关证件原件及复印件：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1.学历（学位）证书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2.任现职专业技术资格证书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3.聘任证书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4.护士执业证书（报考护理专业提供）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5.医师资格证书、医师执业证书（报考需要医师执业资格的专业提供）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6.身份证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7.博士学位人员直接申报评审副高级资格的，须提供学位证明和企事业单位聘用材料。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二、考生报名基本信息填写要求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一）为加强考试信息管理，考生姓名须与身份证上的姓名一致。考生毕业学校及专业按照毕业证书上的信息填写。填报工作单位信息时，所在工作单位属于“事业法人”单位的，按照工作单位第一法人名称（即公章全称）填写；所在工作单位不属于“事业法人”单位的，填写经卫生健康行政部门注册的“</w:t>
      </w:r>
      <w:r>
        <w:rPr>
          <w:rFonts w:hint="eastAsia" w:cs="仿宋_GB2312"/>
          <w:b w:val="0"/>
          <w:bCs/>
          <w:color w:val="auto"/>
          <w:sz w:val="32"/>
          <w:szCs w:val="32"/>
          <w:lang w:val="en-US" w:eastAsia="zh-CN"/>
        </w:rPr>
        <w:t>医疗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卫生机构”全称。</w:t>
      </w:r>
      <w:r>
        <w:rPr>
          <w:rFonts w:hint="eastAsia" w:ascii="Times New Roman" w:hAnsi="Times New Roman" w:eastAsia="仿宋_GB2312" w:cs="仿宋_GB2312"/>
          <w:b/>
          <w:bCs w:val="0"/>
          <w:color w:val="auto"/>
          <w:sz w:val="32"/>
          <w:szCs w:val="32"/>
          <w:lang w:val="en-US" w:eastAsia="zh-CN"/>
        </w:rPr>
        <w:t>考生不填写工作单位，一律视为不在岗人员予以审核拒绝。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（二）申请“副高级基层评审认定”的考生在网上报名时，在“拟申报资格”栏请选择填写为“副高级基层评审认定”，“单位所属”请选择填写为“乡镇”。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三、其他事宜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（一）做好报名信息确认工作。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网上报名信息的准确性由考生本人负责，打印“报名表”前要仔细核对填报的信息，并在《贵州省202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年高级卫生专业技术资格考试报名确认单》签署姓名，上交考试机构备案，一经确认不得修改。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（二）做好考生报名资格审核工作。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考生报名资格审核主要由考点审核把关。资格审核主要对考生是否符合“社会化评审”“副高级基层评审认定”“民营专项评审”申报条件。</w:t>
      </w:r>
      <w:r>
        <w:rPr>
          <w:rFonts w:hint="eastAsia" w:ascii="Times New Roman" w:hAnsi="Times New Roman" w:eastAsia="仿宋_GB2312" w:cs="仿宋_GB2312"/>
          <w:b/>
          <w:bCs w:val="0"/>
          <w:color w:val="auto"/>
          <w:sz w:val="32"/>
          <w:szCs w:val="32"/>
          <w:lang w:val="en-US" w:eastAsia="zh-CN"/>
        </w:rPr>
        <w:t>重点审核学历、资历条件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；申报考试专业和级别是否与申报评审、认定的专业和级别一致（参照本文附件有关要求）。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对“副高级基层评审认定”“民营专项评审”考生提交的《高级卫生专业技术资格考试报名表》上标注“副高基层认定”“民营专项评审”字样，并将报名资料单列管理。考点在报名及资格审核期间，应仔细核对有关信息，对不符合要求的信息数据进行更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（三）把好执业资格准入关。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报考医师、护士专业的，须具备相应执业资格准入要求，执业注册单位应为现工作单位。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（四）申报评审材料报送。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报考人员其他申报材料待202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val="en-US" w:eastAsia="zh-CN"/>
        </w:rPr>
        <w:t>年申报评审工作意见印发后，再按有关要求进行报送。</w:t>
      </w:r>
    </w:p>
    <w:p>
      <w:pPr>
        <w:spacing w:line="0" w:lineRule="atLeast"/>
        <w:rPr>
          <w:rFonts w:hint="eastAsia" w:ascii="黑体" w:hAnsi="黑体" w:eastAsia="黑体" w:cs="方正小标宋简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val="en-US" w:eastAsia="zh-CN"/>
        </w:rPr>
        <w:t>5</w:t>
      </w:r>
    </w:p>
    <w:p>
      <w:pPr>
        <w:spacing w:line="0" w:lineRule="atLeast"/>
        <w:jc w:val="center"/>
        <w:rPr>
          <w:rFonts w:hint="eastAsia" w:ascii="方正小标宋简体" w:hAnsi="宋体" w:eastAsia="方正小标宋简体" w:cs="方正小标宋简体"/>
          <w:color w:val="auto"/>
          <w:kern w:val="0"/>
          <w:sz w:val="40"/>
          <w:szCs w:val="44"/>
        </w:rPr>
      </w:pPr>
      <w:r>
        <w:rPr>
          <w:rFonts w:hint="eastAsia" w:ascii="方正小标宋简体" w:hAnsi="宋体" w:eastAsia="方正小标宋简体" w:cs="方正小标宋简体"/>
          <w:color w:val="auto"/>
          <w:kern w:val="0"/>
          <w:sz w:val="40"/>
          <w:szCs w:val="44"/>
        </w:rPr>
        <w:t>20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0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0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0"/>
          <w:szCs w:val="44"/>
          <w:lang w:eastAsia="zh-CN"/>
        </w:rPr>
        <w:t>高级卫生专业技术资格考试报考</w:t>
      </w:r>
      <w:r>
        <w:rPr>
          <w:rFonts w:hint="eastAsia" w:ascii="方正小标宋简体" w:hAnsi="宋体" w:eastAsia="方正小标宋简体" w:cs="方正小标宋简体"/>
          <w:color w:val="auto"/>
          <w:kern w:val="0"/>
          <w:sz w:val="40"/>
          <w:szCs w:val="44"/>
        </w:rPr>
        <w:t>人员</w:t>
      </w:r>
    </w:p>
    <w:p>
      <w:pPr>
        <w:spacing w:line="0" w:lineRule="atLeast"/>
        <w:jc w:val="center"/>
        <w:rPr>
          <w:rFonts w:hint="eastAsia" w:ascii="方正小标宋简体" w:hAnsi="宋体" w:eastAsia="方正小标宋简体" w:cs="方正小标宋简体"/>
          <w:color w:val="auto"/>
          <w:kern w:val="0"/>
          <w:sz w:val="46"/>
          <w:szCs w:val="44"/>
        </w:rPr>
      </w:pPr>
      <w:r>
        <w:rPr>
          <w:rFonts w:hint="eastAsia" w:ascii="方正小标宋简体" w:hAnsi="宋体" w:eastAsia="方正小标宋简体" w:cs="方正小标宋简体"/>
          <w:color w:val="auto"/>
          <w:kern w:val="0"/>
          <w:sz w:val="40"/>
          <w:szCs w:val="44"/>
        </w:rPr>
        <w:t>单位所属及评审条件对应等级划分范围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8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单位所属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（对应等级）</w:t>
            </w:r>
          </w:p>
        </w:tc>
        <w:tc>
          <w:tcPr>
            <w:tcW w:w="863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报考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人员单位所属及评审条件对应等级划分范围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省级三甲</w:t>
            </w:r>
          </w:p>
        </w:tc>
        <w:tc>
          <w:tcPr>
            <w:tcW w:w="8638" w:type="dxa"/>
            <w:vAlign w:val="center"/>
          </w:tcPr>
          <w:p>
            <w:pPr>
              <w:spacing w:line="0" w:lineRule="atLeast"/>
              <w:ind w:firstLine="472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贵州省人民医院、贵州医科大学附属医院、遵义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医科大学</w:t>
            </w:r>
            <w:r>
              <w:rPr>
                <w:rFonts w:hint="eastAsia" w:ascii="宋体" w:hAnsi="宋体"/>
                <w:color w:val="auto"/>
                <w:sz w:val="24"/>
              </w:rPr>
              <w:t>附属医院、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贵州中医药大学</w:t>
            </w:r>
            <w:r>
              <w:rPr>
                <w:rFonts w:hint="eastAsia" w:ascii="宋体" w:hAnsi="宋体"/>
                <w:color w:val="auto"/>
                <w:sz w:val="24"/>
              </w:rPr>
              <w:t>第一附属医院、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贵州中医药大学</w:t>
            </w:r>
            <w:r>
              <w:rPr>
                <w:rFonts w:hint="eastAsia" w:ascii="宋体" w:hAnsi="宋体"/>
                <w:color w:val="auto"/>
                <w:sz w:val="24"/>
              </w:rPr>
              <w:t>第二附属医院、贵阳市妇幼保健院。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省级其他</w:t>
            </w:r>
          </w:p>
        </w:tc>
        <w:tc>
          <w:tcPr>
            <w:tcW w:w="8638" w:type="dxa"/>
            <w:vAlign w:val="center"/>
          </w:tcPr>
          <w:p>
            <w:pPr>
              <w:spacing w:line="0" w:lineRule="atLeast"/>
              <w:ind w:firstLine="472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省卫生健康委直属的医疗卫生机构（不含上述省级三甲医院）；</w:t>
            </w:r>
          </w:p>
          <w:p>
            <w:pPr>
              <w:spacing w:line="0" w:lineRule="atLeast"/>
              <w:ind w:firstLine="472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省直单位、中央在黔单位、省属大型厂矿企业、解放军（武警）驻黔单位设在贵阳市城市区域内的二级及以上医疗卫生机构；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市州级</w:t>
            </w:r>
          </w:p>
        </w:tc>
        <w:tc>
          <w:tcPr>
            <w:tcW w:w="8638" w:type="dxa"/>
            <w:vAlign w:val="center"/>
          </w:tcPr>
          <w:p>
            <w:pPr>
              <w:spacing w:line="0" w:lineRule="atLeast"/>
              <w:ind w:firstLine="472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市（州）卫生健康局直属的设在市（州）人民政府所在地城市区域内的医疗卫生机构；</w:t>
            </w:r>
          </w:p>
          <w:p>
            <w:pPr>
              <w:spacing w:line="0" w:lineRule="atLeast"/>
              <w:ind w:firstLine="472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省直单位、中央在黔单位、省属大型厂矿企业、解放军（武警）驻黔单位中设在贵阳市城市区域以外的二级及以上医疗卫生机构；</w:t>
            </w:r>
          </w:p>
          <w:p>
            <w:pPr>
              <w:spacing w:line="0" w:lineRule="atLeast"/>
              <w:ind w:firstLine="472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</w:rPr>
              <w:t>卫生健康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主管部门</w:t>
            </w:r>
            <w:r>
              <w:rPr>
                <w:rFonts w:hint="eastAsia" w:ascii="宋体" w:hAnsi="宋体"/>
                <w:color w:val="auto"/>
                <w:sz w:val="24"/>
              </w:rPr>
              <w:t>批准设立并达到三级医院水平的民营医疗机构。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县级</w:t>
            </w:r>
          </w:p>
        </w:tc>
        <w:tc>
          <w:tcPr>
            <w:tcW w:w="8638" w:type="dxa"/>
            <w:vAlign w:val="center"/>
          </w:tcPr>
          <w:p>
            <w:pPr>
              <w:spacing w:line="0" w:lineRule="atLeast"/>
              <w:ind w:firstLine="472" w:firstLineChars="200"/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24"/>
              </w:rPr>
              <w:t>市（州）级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卫生健康</w:t>
            </w:r>
            <w:r>
              <w:rPr>
                <w:rFonts w:hint="eastAsia" w:ascii="宋体" w:hAnsi="宋体"/>
                <w:color w:val="auto"/>
                <w:sz w:val="24"/>
              </w:rPr>
              <w:t>局设在市（州）人民政府所在地城市区域外的一级医疗卫生机构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；</w:t>
            </w:r>
          </w:p>
          <w:p>
            <w:pPr>
              <w:spacing w:line="0" w:lineRule="atLeast"/>
              <w:ind w:firstLine="472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24"/>
              </w:rPr>
              <w:t>县级卫生健康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局</w:t>
            </w:r>
            <w:r>
              <w:rPr>
                <w:rFonts w:hint="eastAsia" w:ascii="宋体" w:hAnsi="宋体"/>
                <w:color w:val="auto"/>
                <w:sz w:val="24"/>
              </w:rPr>
              <w:t>直属医疗卫生机构；</w:t>
            </w:r>
          </w:p>
          <w:p>
            <w:pPr>
              <w:spacing w:line="0" w:lineRule="atLeast"/>
              <w:ind w:firstLine="472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 w:val="24"/>
              </w:rPr>
              <w:t>省直单位、中央在黔单位、省属大型厂矿企业、解放军（武警）驻黔单位设立的一级医疗卫生机构；</w:t>
            </w:r>
          </w:p>
          <w:p>
            <w:pPr>
              <w:spacing w:line="0" w:lineRule="atLeast"/>
              <w:ind w:firstLine="472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4"/>
              </w:rPr>
              <w:t>卫生健康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主管部门</w:t>
            </w:r>
            <w:r>
              <w:rPr>
                <w:rFonts w:hint="eastAsia" w:ascii="宋体" w:hAnsi="宋体"/>
                <w:color w:val="auto"/>
                <w:sz w:val="24"/>
              </w:rPr>
              <w:t>批准设立并达到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一级或</w:t>
            </w:r>
            <w:r>
              <w:rPr>
                <w:rFonts w:hint="eastAsia" w:ascii="宋体" w:hAnsi="宋体"/>
                <w:color w:val="auto"/>
                <w:sz w:val="24"/>
              </w:rPr>
              <w:t>二级医院水平的民营医疗机构。</w:t>
            </w:r>
          </w:p>
          <w:p>
            <w:pPr>
              <w:spacing w:line="0" w:lineRule="atLeast"/>
              <w:ind w:firstLine="472" w:firstLineChars="200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5.其他未定等级的医疗卫生机构。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乡镇级</w:t>
            </w:r>
          </w:p>
        </w:tc>
        <w:tc>
          <w:tcPr>
            <w:tcW w:w="8638" w:type="dxa"/>
            <w:vAlign w:val="center"/>
          </w:tcPr>
          <w:p>
            <w:pPr>
              <w:spacing w:line="0" w:lineRule="atLeast"/>
              <w:ind w:firstLine="472" w:firstLineChars="200"/>
              <w:rPr>
                <w:rFonts w:hint="eastAsia" w:ascii="宋体" w:hAnsi="宋体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社区卫生服务中心、社区卫生服务站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中心卫生院、乡（镇）卫生院、街道卫生院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贵州省2023年度高级卫生专业技术资格考试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考务工作计划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0"/>
        <w:gridCol w:w="3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32"/>
                <w:szCs w:val="32"/>
              </w:rPr>
              <w:t>工作内容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z w:val="32"/>
                <w:szCs w:val="32"/>
              </w:rPr>
              <w:t>时间计划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网上报名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20日-5月20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现场确认、考点审核考生报名资格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日-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5月29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316" w:rightChars="10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考区审核考生报名资格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5月30日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6月2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eastAsia="zh-CN" w:bidi="ar"/>
              </w:rPr>
              <w:t>考点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考区上报考场信息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日前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编排考场、试室和考生座位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eastAsia="zh-CN" w:bidi="ar"/>
              </w:rPr>
              <w:t>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准考证网上打印功能开放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6月26日-7月2日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考试实施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成绩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val="en-US" w:eastAsia="zh-CN" w:bidi="ar"/>
              </w:rPr>
              <w:t>公布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lang w:bidi="ar"/>
              </w:rPr>
              <w:t>9月30日前</w:t>
            </w:r>
          </w:p>
        </w:tc>
      </w:tr>
    </w:tbl>
    <w:p>
      <w:pPr>
        <w:spacing w:line="0" w:lineRule="atLeast"/>
        <w:rPr>
          <w:rFonts w:hint="eastAsia" w:ascii="宋体" w:hAnsi="宋体" w:eastAsia="宋体" w:cs="Times New Roman"/>
          <w:color w:val="auto"/>
          <w:sz w:val="30"/>
          <w:szCs w:val="30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71B510-1654-4E5D-BF5C-F089E3A7F6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6FF59DA-E2B3-4694-9B23-BE23A6E0856C}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BF1C727-3960-4834-BAD3-DDF94D8B62F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57AF856-AD4B-4640-AC3B-29C161EFB1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MjI3MTQ4NTJiMWViMDhkMzBmMjQzYzczYjRmNWEifQ=="/>
  </w:docVars>
  <w:rsids>
    <w:rsidRoot w:val="00000000"/>
    <w:rsid w:val="64C33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line="560" w:lineRule="exact"/>
      <w:ind w:firstLine="630"/>
    </w:pPr>
    <w:rPr>
      <w:kern w:val="0"/>
      <w:sz w:val="24"/>
    </w:rPr>
  </w:style>
  <w:style w:type="paragraph" w:styleId="4">
    <w:name w:val="Body Text Indent 2"/>
    <w:basedOn w:val="1"/>
    <w:qFormat/>
    <w:uiPriority w:val="0"/>
    <w:pPr>
      <w:ind w:firstLine="629" w:firstLineChars="200"/>
    </w:pPr>
    <w:rPr>
      <w:rFonts w:eastAsia="方正仿宋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5837</Words>
  <Characters>6841</Characters>
  <Lines>0</Lines>
  <Paragraphs>0</Paragraphs>
  <TotalTime>3</TotalTime>
  <ScaleCrop>false</ScaleCrop>
  <LinksUpToDate>false</LinksUpToDate>
  <CharactersWithSpaces>6841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2023-03-21T02:12:00Z</dcterms:created>
  <dc:creator>特尼.戴安娜</dc:creator>
  <cp:lastModifiedBy>WPS_1652341505</cp:lastModifiedBy>
  <cp:lastPrinted>2023-04-12T09:32:00Z</cp:lastPrinted>
  <dcterms:modified xsi:type="dcterms:W3CDTF">2023-04-14T15:43:59Z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D12902C9CB75A5FCB0D43764864F54D3_33</vt:lpwstr>
  </property>
</Properties>
</file>