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E404" w14:textId="77777777" w:rsidR="00ED58E3" w:rsidRDefault="003405F4">
      <w:pPr>
        <w:rPr>
          <w:rFonts w:ascii="楷体_GB2312" w:eastAsia="楷体_GB2312" w:hAnsi="楷体_GB2312" w:cs="楷体_GB2312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14:paraId="7F1C69E8" w14:textId="77777777" w:rsidR="00ED58E3" w:rsidRDefault="003405F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年《职业病防治法》宣传周活动方案</w:t>
      </w:r>
    </w:p>
    <w:p w14:paraId="0017DE2C" w14:textId="77777777" w:rsidR="00ED58E3" w:rsidRDefault="00ED58E3">
      <w:pPr>
        <w:rPr>
          <w:rFonts w:ascii="楷体_GB2312" w:eastAsia="楷体_GB2312" w:hAnsi="楷体_GB2312" w:cs="楷体_GB2312"/>
        </w:rPr>
      </w:pPr>
    </w:p>
    <w:p w14:paraId="2EB2FF40" w14:textId="77777777" w:rsidR="00ED58E3" w:rsidRDefault="003405F4">
      <w:pPr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一、职业健康知识答题活动</w:t>
      </w:r>
    </w:p>
    <w:p w14:paraId="23F6F5BF" w14:textId="77777777" w:rsidR="00ED58E3" w:rsidRDefault="003405F4">
      <w:pPr>
        <w:ind w:firstLineChars="200" w:firstLine="632"/>
        <w:rPr>
          <w:rFonts w:ascii="楷体_GB2312" w:eastAsia="楷体_GB2312" w:hAnsi="楷体_GB2312" w:cs="楷体_GB2312"/>
        </w:rPr>
      </w:pPr>
      <w:r>
        <w:rPr>
          <w:rFonts w:eastAsia="仿宋_GB2312" w:hint="eastAsia"/>
        </w:rPr>
        <w:t>开展线上职业病防治知识答题</w:t>
      </w:r>
      <w:r>
        <w:rPr>
          <w:rFonts w:eastAsia="仿宋_GB2312" w:hint="eastAsia"/>
        </w:rPr>
        <w:t>活动，答题达到</w:t>
      </w:r>
      <w:r>
        <w:rPr>
          <w:rFonts w:eastAsia="仿宋_GB2312" w:hint="eastAsia"/>
        </w:rPr>
        <w:t>60</w:t>
      </w:r>
      <w:r>
        <w:rPr>
          <w:rFonts w:eastAsia="仿宋_GB2312" w:hint="eastAsia"/>
        </w:rPr>
        <w:t>分的参加者可参加随机抽奖，获奖者颁发答题纪念品一份。</w:t>
      </w:r>
    </w:p>
    <w:p w14:paraId="543E6A0A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  <w:b/>
          <w:bCs/>
        </w:rPr>
        <w:t>活动时间：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>4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25</w:t>
      </w:r>
      <w:r>
        <w:rPr>
          <w:rFonts w:eastAsia="仿宋_GB2312" w:hint="eastAsia"/>
        </w:rPr>
        <w:t>日至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>5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日。</w:t>
      </w:r>
    </w:p>
    <w:p w14:paraId="7976F0AC" w14:textId="77777777" w:rsidR="00ED58E3" w:rsidRDefault="003405F4">
      <w:pPr>
        <w:spacing w:line="580" w:lineRule="exact"/>
        <w:ind w:firstLineChars="200" w:firstLine="632"/>
        <w:rPr>
          <w:rFonts w:eastAsia="仿宋_GB2312"/>
          <w:b/>
          <w:bCs/>
        </w:rPr>
      </w:pPr>
      <w:r>
        <w:rPr>
          <w:rFonts w:eastAsia="仿宋_GB2312" w:hint="eastAsia"/>
          <w:b/>
          <w:bCs/>
        </w:rPr>
        <w:t>参加方式：</w:t>
      </w:r>
    </w:p>
    <w:p w14:paraId="62FBFE07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</w:rPr>
        <w:t>方式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：</w:t>
      </w:r>
      <w:proofErr w:type="gramStart"/>
      <w:r>
        <w:rPr>
          <w:rFonts w:eastAsia="仿宋_GB2312" w:hint="eastAsia"/>
        </w:rPr>
        <w:t>微信扫码</w:t>
      </w:r>
      <w:proofErr w:type="gramEnd"/>
      <w:r>
        <w:rPr>
          <w:rFonts w:eastAsia="仿宋_GB2312" w:hint="eastAsia"/>
        </w:rPr>
        <w:t>1</w:t>
      </w:r>
      <w:r>
        <w:rPr>
          <w:rFonts w:eastAsia="仿宋_GB2312" w:hint="eastAsia"/>
        </w:rPr>
        <w:t>，进入</w:t>
      </w:r>
      <w:proofErr w:type="gramStart"/>
      <w:r>
        <w:rPr>
          <w:rFonts w:eastAsia="仿宋_GB2312" w:hint="eastAsia"/>
        </w:rPr>
        <w:t>“贵州健康报”微信小</w:t>
      </w:r>
      <w:proofErr w:type="gramEnd"/>
      <w:r>
        <w:rPr>
          <w:rFonts w:eastAsia="仿宋_GB2312" w:hint="eastAsia"/>
        </w:rPr>
        <w:t>程序，进入页面查看相关内容及答题活动；</w:t>
      </w:r>
    </w:p>
    <w:p w14:paraId="784D4302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</w:rPr>
        <w:t>方式</w:t>
      </w:r>
      <w:r>
        <w:rPr>
          <w:rFonts w:eastAsia="仿宋_GB2312" w:hint="eastAsia"/>
        </w:rPr>
        <w:t>2</w:t>
      </w:r>
      <w:r>
        <w:rPr>
          <w:rFonts w:eastAsia="仿宋_GB2312" w:hint="eastAsia"/>
        </w:rPr>
        <w:t>：</w:t>
      </w:r>
      <w:proofErr w:type="gramStart"/>
      <w:r>
        <w:rPr>
          <w:rFonts w:eastAsia="仿宋_GB2312" w:hint="eastAsia"/>
        </w:rPr>
        <w:t>微信扫码</w:t>
      </w:r>
      <w:proofErr w:type="gramEnd"/>
      <w:r>
        <w:rPr>
          <w:rFonts w:eastAsia="仿宋_GB2312" w:hint="eastAsia"/>
        </w:rPr>
        <w:t>2</w:t>
      </w:r>
      <w:r>
        <w:rPr>
          <w:rFonts w:eastAsia="仿宋_GB2312" w:hint="eastAsia"/>
        </w:rPr>
        <w:t>，关注“贵州健康报”</w:t>
      </w:r>
      <w:proofErr w:type="gramStart"/>
      <w:r>
        <w:rPr>
          <w:rFonts w:eastAsia="仿宋_GB2312" w:hint="eastAsia"/>
        </w:rPr>
        <w:t>微信公众号</w:t>
      </w:r>
      <w:proofErr w:type="gramEnd"/>
      <w:r>
        <w:rPr>
          <w:rFonts w:eastAsia="仿宋_GB2312" w:hint="eastAsia"/>
        </w:rPr>
        <w:t>，点击底部菜单栏，按照提示进行答题。</w:t>
      </w:r>
    </w:p>
    <w:p w14:paraId="47109638" w14:textId="77777777" w:rsidR="00ED58E3" w:rsidRDefault="003405F4">
      <w:pPr>
        <w:wordWrap w:val="0"/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</w:rPr>
        <w:t>方式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：点击衔接网址：</w:t>
      </w:r>
      <w:r>
        <w:rPr>
          <w:rFonts w:eastAsia="仿宋_GB2312"/>
        </w:rPr>
        <w:t>http://tpvideoly.zanjie123.com/Jkparty/home/poster.htm</w:t>
      </w:r>
    </w:p>
    <w:p w14:paraId="625FAACC" w14:textId="77777777" w:rsidR="00ED58E3" w:rsidRDefault="003405F4">
      <w:pPr>
        <w:spacing w:line="58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二、职业健康网络公开课</w:t>
      </w:r>
    </w:p>
    <w:p w14:paraId="0B2846C1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</w:rPr>
        <w:t>由职业健康专家主讲，面向全省所有用人单位及劳</w:t>
      </w:r>
      <w:r>
        <w:rPr>
          <w:rFonts w:eastAsia="仿宋_GB2312" w:hint="eastAsia"/>
        </w:rPr>
        <w:t>动者的网络公开课，主要内容为职业病防治知识、职业病的诊断及其在职业病防治工作中用人单</w:t>
      </w:r>
      <w:r>
        <w:rPr>
          <w:rFonts w:eastAsia="仿宋_GB2312" w:hint="eastAsia"/>
        </w:rPr>
        <w:t>位和劳动者的权利和义务。</w:t>
      </w:r>
    </w:p>
    <w:p w14:paraId="232F0A25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  <w:b/>
          <w:bCs/>
        </w:rPr>
        <w:t>活动时间：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>4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25</w:t>
      </w:r>
      <w:r>
        <w:rPr>
          <w:rFonts w:eastAsia="仿宋_GB2312" w:hint="eastAsia"/>
        </w:rPr>
        <w:t>日至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>5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日。</w:t>
      </w:r>
    </w:p>
    <w:p w14:paraId="5EA4F17A" w14:textId="77777777" w:rsidR="00ED58E3" w:rsidRDefault="003405F4">
      <w:pPr>
        <w:spacing w:line="580" w:lineRule="exact"/>
        <w:ind w:firstLineChars="200" w:firstLine="632"/>
        <w:rPr>
          <w:rFonts w:eastAsia="仿宋_GB2312"/>
          <w:b/>
          <w:bCs/>
        </w:rPr>
      </w:pPr>
      <w:r>
        <w:rPr>
          <w:rFonts w:eastAsia="仿宋_GB2312" w:hint="eastAsia"/>
          <w:b/>
          <w:bCs/>
        </w:rPr>
        <w:t>参加方式：</w:t>
      </w:r>
    </w:p>
    <w:p w14:paraId="78D0AC75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</w:rPr>
        <w:t>方式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：进入贵州健康</w:t>
      </w:r>
      <w:proofErr w:type="gramStart"/>
      <w:r>
        <w:rPr>
          <w:rFonts w:eastAsia="仿宋_GB2312" w:hint="eastAsia"/>
        </w:rPr>
        <w:t>报微信</w:t>
      </w:r>
      <w:proofErr w:type="gramEnd"/>
      <w:r>
        <w:rPr>
          <w:rFonts w:eastAsia="仿宋_GB2312" w:hint="eastAsia"/>
        </w:rPr>
        <w:t>小程序，点击页面底部的“影</w:t>
      </w:r>
      <w:r>
        <w:rPr>
          <w:rFonts w:eastAsia="仿宋_GB2312" w:hint="eastAsia"/>
        </w:rPr>
        <w:lastRenderedPageBreak/>
        <w:t>集”进入观看。</w:t>
      </w:r>
    </w:p>
    <w:p w14:paraId="78750E38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</w:rPr>
        <w:t>方式</w:t>
      </w:r>
      <w:r>
        <w:rPr>
          <w:rFonts w:eastAsia="仿宋_GB2312" w:hint="eastAsia"/>
        </w:rPr>
        <w:t>2</w:t>
      </w:r>
      <w:r>
        <w:rPr>
          <w:rFonts w:eastAsia="仿宋_GB2312" w:hint="eastAsia"/>
        </w:rPr>
        <w:t>：进入贵州健康</w:t>
      </w:r>
      <w:proofErr w:type="gramStart"/>
      <w:r>
        <w:rPr>
          <w:rFonts w:eastAsia="仿宋_GB2312" w:hint="eastAsia"/>
        </w:rPr>
        <w:t>报微信公众号</w:t>
      </w:r>
      <w:proofErr w:type="gramEnd"/>
      <w:r>
        <w:rPr>
          <w:rFonts w:eastAsia="仿宋_GB2312" w:hint="eastAsia"/>
        </w:rPr>
        <w:t>，在视频栏目中观看专家视频讲座。</w:t>
      </w:r>
    </w:p>
    <w:p w14:paraId="3DAF7527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</w:rPr>
        <w:t>方式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：</w:t>
      </w:r>
      <w:proofErr w:type="gramStart"/>
      <w:r>
        <w:rPr>
          <w:rFonts w:eastAsia="仿宋_GB2312" w:hint="eastAsia"/>
        </w:rPr>
        <w:t>进入抖音“健康贵州”</w:t>
      </w:r>
      <w:proofErr w:type="gramEnd"/>
      <w:r>
        <w:rPr>
          <w:rFonts w:eastAsia="仿宋_GB2312" w:hint="eastAsia"/>
        </w:rPr>
        <w:t>官方账号，在作品中选择收看。</w:t>
      </w:r>
    </w:p>
    <w:p w14:paraId="0F2E27EC" w14:textId="77777777" w:rsidR="00ED58E3" w:rsidRDefault="003405F4">
      <w:pPr>
        <w:spacing w:line="58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三、线上观看</w:t>
      </w:r>
      <w:r>
        <w:rPr>
          <w:rFonts w:ascii="黑体" w:eastAsia="黑体" w:hAnsi="黑体" w:cs="黑体" w:hint="eastAsia"/>
        </w:rPr>
        <w:t>2022</w:t>
      </w:r>
      <w:r>
        <w:rPr>
          <w:rFonts w:ascii="黑体" w:eastAsia="黑体" w:hAnsi="黑体" w:cs="黑体" w:hint="eastAsia"/>
        </w:rPr>
        <w:t>职业病防治画册</w:t>
      </w:r>
    </w:p>
    <w:p w14:paraId="78BE3889" w14:textId="77777777" w:rsidR="00ED58E3" w:rsidRDefault="003405F4">
      <w:pPr>
        <w:spacing w:line="580" w:lineRule="exact"/>
        <w:ind w:firstLineChars="200" w:firstLine="632"/>
        <w:rPr>
          <w:rFonts w:eastAsia="仿宋_GB2312"/>
          <w:color w:val="0000FF"/>
        </w:rPr>
      </w:pPr>
      <w:r>
        <w:rPr>
          <w:rFonts w:eastAsia="仿宋_GB2312" w:hint="eastAsia"/>
        </w:rPr>
        <w:t>通过组织观看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>《职业病防治法》宣传周职业病防治画册，进一步提高广大劳动者职业健康意识，营造全社会关心关注职业病防治的浓厚氛围。</w:t>
      </w:r>
    </w:p>
    <w:p w14:paraId="348BDBA1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  <w:b/>
          <w:bCs/>
        </w:rPr>
        <w:t>活动时间：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>4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25</w:t>
      </w:r>
      <w:r>
        <w:rPr>
          <w:rFonts w:eastAsia="仿宋_GB2312" w:hint="eastAsia"/>
        </w:rPr>
        <w:t>日至</w:t>
      </w:r>
      <w:r>
        <w:rPr>
          <w:rFonts w:eastAsia="仿宋_GB2312" w:hint="eastAsia"/>
        </w:rPr>
        <w:t>2022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>5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日。</w:t>
      </w:r>
    </w:p>
    <w:p w14:paraId="74756CB4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  <w:b/>
          <w:bCs/>
        </w:rPr>
        <w:t>参加方式：</w:t>
      </w:r>
      <w:proofErr w:type="gramStart"/>
      <w:r>
        <w:rPr>
          <w:rFonts w:eastAsia="仿宋_GB2312" w:hint="eastAsia"/>
        </w:rPr>
        <w:t>微信扫码</w:t>
      </w:r>
      <w:proofErr w:type="gramEnd"/>
      <w:r>
        <w:rPr>
          <w:rFonts w:eastAsia="仿宋_GB2312" w:hint="eastAsia"/>
        </w:rPr>
        <w:t>4</w:t>
      </w:r>
      <w:r>
        <w:rPr>
          <w:rFonts w:eastAsia="仿宋_GB2312" w:hint="eastAsia"/>
        </w:rPr>
        <w:t>观看</w:t>
      </w:r>
      <w:r>
        <w:rPr>
          <w:rFonts w:eastAsia="仿宋_GB2312"/>
        </w:rPr>
        <w:t>。</w:t>
      </w:r>
    </w:p>
    <w:p w14:paraId="57D81E97" w14:textId="77777777" w:rsidR="00ED58E3" w:rsidRDefault="003405F4">
      <w:pPr>
        <w:spacing w:line="580" w:lineRule="exact"/>
        <w:ind w:leftChars="200" w:left="632"/>
        <w:rPr>
          <w:rFonts w:ascii="黑体" w:eastAsia="黑体" w:hAnsi="黑体" w:cs="黑体"/>
          <w:color w:val="36363D"/>
        </w:rPr>
      </w:pPr>
      <w:r>
        <w:rPr>
          <w:rFonts w:ascii="黑体" w:eastAsia="黑体" w:hAnsi="黑体" w:cs="黑体" w:hint="eastAsia"/>
          <w:color w:val="36363D"/>
        </w:rPr>
        <w:t>四、有关要求</w:t>
      </w:r>
    </w:p>
    <w:p w14:paraId="191A6199" w14:textId="77777777" w:rsidR="00ED58E3" w:rsidRDefault="003405F4">
      <w:pPr>
        <w:spacing w:line="580" w:lineRule="exact"/>
        <w:ind w:firstLineChars="200" w:firstLine="632"/>
        <w:rPr>
          <w:rFonts w:eastAsia="仿宋_GB2312"/>
        </w:rPr>
      </w:pPr>
      <w:r>
        <w:rPr>
          <w:rFonts w:eastAsia="仿宋_GB2312" w:hint="eastAsia"/>
        </w:rPr>
        <w:t>各地卫生健康部门要高度重视此次活动，积极组织本地有关单位、企业和医疗卫生机构参与《职业病防治法》宣传周网络活动，在全省、全社会掀起关注职业健康的热潮，进一步提高全民健康意识和自我防护意识，切实保障广大劳动者的生命健康权益。</w:t>
      </w:r>
    </w:p>
    <w:p w14:paraId="241EDCC9" w14:textId="77777777" w:rsidR="00ED58E3" w:rsidRDefault="003405F4">
      <w:pPr>
        <w:rPr>
          <w:rFonts w:eastAsia="仿宋_GB2312"/>
        </w:rPr>
      </w:pPr>
      <w:r>
        <w:rPr>
          <w:rFonts w:eastAsia="仿宋_GB2312" w:hint="eastAsia"/>
        </w:rPr>
        <w:br w:type="page"/>
      </w:r>
    </w:p>
    <w:p w14:paraId="4F08D952" w14:textId="77777777" w:rsidR="00ED58E3" w:rsidRDefault="003405F4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lastRenderedPageBreak/>
        <w:t>有关活动二维码</w:t>
      </w:r>
    </w:p>
    <w:p w14:paraId="2185F183" w14:textId="77777777" w:rsidR="00ED58E3" w:rsidRDefault="00ED58E3">
      <w:pPr>
        <w:spacing w:line="560" w:lineRule="exact"/>
        <w:rPr>
          <w:rFonts w:ascii="黑体" w:eastAsia="黑体" w:hAnsi="黑体" w:cs="黑体"/>
        </w:rPr>
      </w:pPr>
    </w:p>
    <w:tbl>
      <w:tblPr>
        <w:tblStyle w:val="a8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4259"/>
        <w:gridCol w:w="4258"/>
      </w:tblGrid>
      <w:tr w:rsidR="00ED58E3" w14:paraId="676A1B7B" w14:textId="77777777">
        <w:trPr>
          <w:trHeight w:hRule="exact" w:val="4494"/>
          <w:jc w:val="center"/>
        </w:trPr>
        <w:tc>
          <w:tcPr>
            <w:tcW w:w="4258" w:type="dxa"/>
          </w:tcPr>
          <w:p w14:paraId="2A8EF673" w14:textId="77777777" w:rsidR="00ED58E3" w:rsidRDefault="003405F4">
            <w:pPr>
              <w:spacing w:line="560" w:lineRule="exact"/>
              <w:rPr>
                <w:rFonts w:ascii="方正仿宋_GBK" w:eastAsia="方正仿宋_GBK" w:hAnsi="方正仿宋_GBK" w:cs="方正仿宋_GBK"/>
                <w:sz w:val="6"/>
                <w:szCs w:val="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3072" behindDoc="1" locked="0" layoutInCell="1" allowOverlap="1" wp14:anchorId="7BC478CD" wp14:editId="3B5B4C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-1982470</wp:posOffset>
                  </wp:positionV>
                  <wp:extent cx="2575560" cy="2934970"/>
                  <wp:effectExtent l="0" t="0" r="15240" b="17780"/>
                  <wp:wrapThrough wrapText="bothSides">
                    <wp:wrapPolygon edited="0">
                      <wp:start x="0" y="0"/>
                      <wp:lineTo x="0" y="21450"/>
                      <wp:lineTo x="21408" y="21450"/>
                      <wp:lineTo x="21408" y="0"/>
                      <wp:lineTo x="0" y="0"/>
                    </wp:wrapPolygon>
                  </wp:wrapThrough>
                  <wp:docPr id="1" name="图片 1" descr="小程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小程序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93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9" w:type="dxa"/>
          </w:tcPr>
          <w:p w14:paraId="499154AC" w14:textId="77777777" w:rsidR="00ED58E3" w:rsidRDefault="003405F4">
            <w:pPr>
              <w:spacing w:line="560" w:lineRule="exact"/>
              <w:rPr>
                <w:rFonts w:ascii="方正仿宋_GBK" w:eastAsia="方正仿宋_GBK" w:hAnsi="方正仿宋_GBK" w:cs="方正仿宋_GBK"/>
                <w:sz w:val="6"/>
                <w:szCs w:val="6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4096" behindDoc="1" locked="0" layoutInCell="1" allowOverlap="1" wp14:anchorId="389A7586" wp14:editId="189B713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17780</wp:posOffset>
                  </wp:positionV>
                  <wp:extent cx="2673350" cy="2827655"/>
                  <wp:effectExtent l="0" t="0" r="12700" b="10795"/>
                  <wp:wrapThrough wrapText="bothSides">
                    <wp:wrapPolygon edited="0">
                      <wp:start x="0" y="0"/>
                      <wp:lineTo x="0" y="21391"/>
                      <wp:lineTo x="21395" y="21391"/>
                      <wp:lineTo x="21395" y="0"/>
                      <wp:lineTo x="0" y="0"/>
                    </wp:wrapPolygon>
                  </wp:wrapThrough>
                  <wp:docPr id="3" name="图片 3" descr="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0" cy="282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58E3" w14:paraId="16DCD15F" w14:textId="77777777">
        <w:trPr>
          <w:trHeight w:hRule="exact" w:val="1068"/>
          <w:jc w:val="center"/>
        </w:trPr>
        <w:tc>
          <w:tcPr>
            <w:tcW w:w="4258" w:type="dxa"/>
            <w:vAlign w:val="center"/>
          </w:tcPr>
          <w:p w14:paraId="6CAD2515" w14:textId="77777777" w:rsidR="00ED58E3" w:rsidRDefault="003405F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二维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1</w:t>
            </w:r>
          </w:p>
        </w:tc>
        <w:tc>
          <w:tcPr>
            <w:tcW w:w="4259" w:type="dxa"/>
            <w:vAlign w:val="center"/>
          </w:tcPr>
          <w:p w14:paraId="497489F1" w14:textId="77777777" w:rsidR="00ED58E3" w:rsidRDefault="003405F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二维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2</w:t>
            </w:r>
          </w:p>
        </w:tc>
      </w:tr>
      <w:tr w:rsidR="00ED58E3" w14:paraId="2ABDCAA4" w14:textId="77777777">
        <w:trPr>
          <w:trHeight w:hRule="exact" w:val="4494"/>
          <w:jc w:val="center"/>
        </w:trPr>
        <w:tc>
          <w:tcPr>
            <w:tcW w:w="4259" w:type="dxa"/>
          </w:tcPr>
          <w:p w14:paraId="3058F5CA" w14:textId="77777777" w:rsidR="00ED58E3" w:rsidRDefault="003405F4">
            <w:pPr>
              <w:spacing w:line="560" w:lineRule="exact"/>
              <w:rPr>
                <w:rFonts w:ascii="方正仿宋_GBK" w:eastAsia="方正仿宋_GBK" w:hAnsi="方正仿宋_GBK" w:cs="方正仿宋_GBK"/>
                <w:sz w:val="6"/>
                <w:szCs w:val="6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5120" behindDoc="1" locked="0" layoutInCell="1" allowOverlap="1" wp14:anchorId="1E543004" wp14:editId="1EC2D0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-2325370</wp:posOffset>
                  </wp:positionV>
                  <wp:extent cx="2675255" cy="2837180"/>
                  <wp:effectExtent l="0" t="0" r="10795" b="1270"/>
                  <wp:wrapThrough wrapText="bothSides">
                    <wp:wrapPolygon edited="0">
                      <wp:start x="0" y="0"/>
                      <wp:lineTo x="0" y="21465"/>
                      <wp:lineTo x="21380" y="21465"/>
                      <wp:lineTo x="21380" y="0"/>
                      <wp:lineTo x="0" y="0"/>
                    </wp:wrapPolygon>
                  </wp:wrapThrough>
                  <wp:docPr id="5" name="图片 5" descr="健康贵州抖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健康贵州抖音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55" cy="283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</w:tcPr>
          <w:p w14:paraId="5FDA1CC6" w14:textId="77777777" w:rsidR="00ED58E3" w:rsidRDefault="003405F4">
            <w:pPr>
              <w:spacing w:line="56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048" behindDoc="1" locked="0" layoutInCell="1" allowOverlap="1" wp14:anchorId="32D085DD" wp14:editId="04AC36C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18415</wp:posOffset>
                  </wp:positionV>
                  <wp:extent cx="2634615" cy="2853055"/>
                  <wp:effectExtent l="0" t="0" r="13335" b="4445"/>
                  <wp:wrapThrough wrapText="bothSides">
                    <wp:wrapPolygon edited="0">
                      <wp:start x="0" y="0"/>
                      <wp:lineTo x="0" y="21489"/>
                      <wp:lineTo x="21397" y="21489"/>
                      <wp:lineTo x="21397" y="0"/>
                      <wp:lineTo x="0" y="0"/>
                    </wp:wrapPolygon>
                  </wp:wrapThrough>
                  <wp:docPr id="4" name="图片 4" descr="电子宣传手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宣传手册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285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8EC254" w14:textId="77777777" w:rsidR="00ED58E3" w:rsidRDefault="00ED58E3">
            <w:pPr>
              <w:spacing w:line="560" w:lineRule="exact"/>
              <w:rPr>
                <w:rFonts w:ascii="方正仿宋_GBK" w:eastAsia="方正仿宋_GBK" w:hAnsi="方正仿宋_GBK" w:cs="方正仿宋_GBK"/>
              </w:rPr>
            </w:pPr>
          </w:p>
          <w:p w14:paraId="78C1E7A7" w14:textId="77777777" w:rsidR="00ED58E3" w:rsidRDefault="00ED58E3">
            <w:pPr>
              <w:spacing w:line="560" w:lineRule="exact"/>
              <w:rPr>
                <w:rFonts w:ascii="方正仿宋_GBK" w:eastAsia="方正仿宋_GBK" w:hAnsi="方正仿宋_GBK" w:cs="方正仿宋_GBK"/>
              </w:rPr>
            </w:pPr>
          </w:p>
          <w:p w14:paraId="41E0FB63" w14:textId="77777777" w:rsidR="00ED58E3" w:rsidRDefault="00ED58E3">
            <w:pPr>
              <w:spacing w:line="560" w:lineRule="exact"/>
              <w:rPr>
                <w:rFonts w:ascii="方正仿宋_GBK" w:eastAsia="方正仿宋_GBK" w:hAnsi="方正仿宋_GBK" w:cs="方正仿宋_GBK"/>
              </w:rPr>
            </w:pPr>
          </w:p>
          <w:p w14:paraId="6F18D968" w14:textId="77777777" w:rsidR="00ED58E3" w:rsidRDefault="00ED58E3">
            <w:pPr>
              <w:spacing w:line="560" w:lineRule="exact"/>
              <w:rPr>
                <w:rFonts w:ascii="方正仿宋_GBK" w:eastAsia="方正仿宋_GBK" w:hAnsi="方正仿宋_GBK" w:cs="方正仿宋_GBK"/>
              </w:rPr>
            </w:pPr>
          </w:p>
          <w:p w14:paraId="27595FD2" w14:textId="77777777" w:rsidR="00ED58E3" w:rsidRDefault="00ED58E3">
            <w:pPr>
              <w:spacing w:line="560" w:lineRule="exact"/>
              <w:rPr>
                <w:rFonts w:ascii="方正仿宋_GBK" w:eastAsia="方正仿宋_GBK" w:hAnsi="方正仿宋_GBK" w:cs="方正仿宋_GBK"/>
              </w:rPr>
            </w:pPr>
          </w:p>
        </w:tc>
      </w:tr>
      <w:tr w:rsidR="00ED58E3" w14:paraId="62DB50DB" w14:textId="77777777">
        <w:trPr>
          <w:trHeight w:val="1081"/>
          <w:jc w:val="center"/>
        </w:trPr>
        <w:tc>
          <w:tcPr>
            <w:tcW w:w="4259" w:type="dxa"/>
            <w:vAlign w:val="center"/>
          </w:tcPr>
          <w:p w14:paraId="4E13B6C4" w14:textId="77777777" w:rsidR="00ED58E3" w:rsidRDefault="003405F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二维码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3</w:t>
            </w:r>
          </w:p>
        </w:tc>
        <w:tc>
          <w:tcPr>
            <w:tcW w:w="4258" w:type="dxa"/>
            <w:vAlign w:val="center"/>
          </w:tcPr>
          <w:p w14:paraId="65575817" w14:textId="77777777" w:rsidR="00ED58E3" w:rsidRDefault="003405F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二维码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4</w:t>
            </w:r>
          </w:p>
        </w:tc>
      </w:tr>
    </w:tbl>
    <w:p w14:paraId="12B9CDFC" w14:textId="77777777" w:rsidR="00ED58E3" w:rsidRDefault="003405F4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2</w:t>
      </w:r>
    </w:p>
    <w:p w14:paraId="7D1FE9A6" w14:textId="77777777" w:rsidR="00ED58E3" w:rsidRDefault="00ED58E3">
      <w:pPr>
        <w:rPr>
          <w:rFonts w:ascii="黑体" w:eastAsia="黑体" w:hAnsi="黑体" w:cs="黑体"/>
        </w:rPr>
      </w:pPr>
    </w:p>
    <w:p w14:paraId="4C5392D8" w14:textId="77777777" w:rsidR="00ED58E3" w:rsidRDefault="003405F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年《职业病防治法》宣传周推荐宣传用语</w:t>
      </w:r>
    </w:p>
    <w:p w14:paraId="3D3546F4" w14:textId="77777777" w:rsidR="00ED58E3" w:rsidRDefault="00ED58E3">
      <w:pPr>
        <w:jc w:val="left"/>
        <w:rPr>
          <w:rFonts w:eastAsia="仿宋_GB2312"/>
        </w:rPr>
      </w:pPr>
    </w:p>
    <w:p w14:paraId="3FEFDA5A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</w:t>
      </w:r>
      <w:r>
        <w:rPr>
          <w:rFonts w:ascii="仿宋_GB2312" w:eastAsia="仿宋_GB2312" w:hAnsi="仿宋_GB2312" w:cs="仿宋_GB2312" w:hint="eastAsia"/>
          <w:szCs w:val="32"/>
        </w:rPr>
        <w:t>职业健康，你我同行</w:t>
      </w:r>
    </w:p>
    <w:p w14:paraId="6F98951F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建健康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中国，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享职业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健康</w:t>
      </w:r>
    </w:p>
    <w:p w14:paraId="4B9DABB7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firstLine="632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3.</w:t>
      </w:r>
      <w:r>
        <w:rPr>
          <w:rFonts w:ascii="仿宋_GB2312" w:eastAsia="仿宋_GB2312" w:hAnsi="仿宋_GB2312" w:cs="仿宋_GB2312" w:hint="eastAsia"/>
          <w:szCs w:val="32"/>
        </w:rPr>
        <w:t>职业健康相伴，幸福终身相随</w:t>
      </w:r>
    </w:p>
    <w:p w14:paraId="7AD16338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4.</w:t>
      </w:r>
      <w:r>
        <w:rPr>
          <w:rFonts w:ascii="仿宋_GB2312" w:eastAsia="仿宋_GB2312" w:hAnsi="仿宋_GB2312" w:cs="仿宋_GB2312" w:hint="eastAsia"/>
          <w:szCs w:val="32"/>
        </w:rPr>
        <w:t>守护职业健康，同享幸福人生</w:t>
      </w:r>
    </w:p>
    <w:p w14:paraId="4DD85015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5.</w:t>
      </w:r>
      <w:r>
        <w:rPr>
          <w:rFonts w:ascii="仿宋_GB2312" w:eastAsia="仿宋_GB2312" w:hAnsi="仿宋_GB2312" w:cs="仿宋_GB2312" w:hint="eastAsia"/>
          <w:szCs w:val="32"/>
        </w:rPr>
        <w:t>治理职业危害，守护健康生活</w:t>
      </w:r>
    </w:p>
    <w:p w14:paraId="7E850F77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6.</w:t>
      </w:r>
      <w:r>
        <w:rPr>
          <w:rFonts w:ascii="仿宋_GB2312" w:eastAsia="仿宋_GB2312" w:hAnsi="仿宋_GB2312" w:cs="仿宋_GB2312" w:hint="eastAsia"/>
          <w:szCs w:val="32"/>
        </w:rPr>
        <w:t>为职业健康添彩，为健康中国加油</w:t>
      </w:r>
    </w:p>
    <w:p w14:paraId="51AF4044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7.</w:t>
      </w:r>
      <w:r>
        <w:rPr>
          <w:rFonts w:ascii="仿宋_GB2312" w:eastAsia="仿宋_GB2312" w:hAnsi="仿宋_GB2312" w:cs="仿宋_GB2312" w:hint="eastAsia"/>
          <w:szCs w:val="32"/>
        </w:rPr>
        <w:t>推进高质量发展，职业健康在行动</w:t>
      </w:r>
    </w:p>
    <w:p w14:paraId="4B414A3E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8.</w:t>
      </w:r>
      <w:r>
        <w:rPr>
          <w:rFonts w:ascii="仿宋_GB2312" w:eastAsia="仿宋_GB2312" w:hAnsi="仿宋_GB2312" w:cs="仿宋_GB2312" w:hint="eastAsia"/>
          <w:szCs w:val="32"/>
        </w:rPr>
        <w:t>职业健康同关注，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健康中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国共助力</w:t>
      </w:r>
    </w:p>
    <w:p w14:paraId="22CA08B0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9.</w:t>
      </w:r>
      <w:r>
        <w:rPr>
          <w:rFonts w:ascii="仿宋_GB2312" w:eastAsia="仿宋_GB2312" w:hAnsi="仿宋_GB2312" w:cs="仿宋_GB2312" w:hint="eastAsia"/>
          <w:szCs w:val="32"/>
        </w:rPr>
        <w:t>同心共筑中国梦，职业健康我先行</w:t>
      </w:r>
    </w:p>
    <w:p w14:paraId="3BBC0B73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10.</w:t>
      </w:r>
      <w:r>
        <w:rPr>
          <w:rFonts w:ascii="仿宋_GB2312" w:eastAsia="仿宋_GB2312" w:hAnsi="仿宋_GB2312" w:cs="仿宋_GB2312" w:hint="eastAsia"/>
          <w:szCs w:val="32"/>
        </w:rPr>
        <w:t>构筑职业健康防线，共享健康生活</w:t>
      </w:r>
    </w:p>
    <w:p w14:paraId="38100781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11.</w:t>
      </w:r>
      <w:r>
        <w:rPr>
          <w:rFonts w:ascii="仿宋_GB2312" w:eastAsia="仿宋_GB2312" w:hAnsi="仿宋_GB2312" w:cs="仿宋_GB2312" w:hint="eastAsia"/>
          <w:szCs w:val="32"/>
        </w:rPr>
        <w:t>以服务劳动者为本，与健康中国同行</w:t>
      </w:r>
    </w:p>
    <w:p w14:paraId="59FCB9B3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12.</w:t>
      </w:r>
      <w:r>
        <w:rPr>
          <w:rFonts w:ascii="仿宋_GB2312" w:eastAsia="仿宋_GB2312" w:hAnsi="仿宋_GB2312" w:cs="仿宋_GB2312" w:hint="eastAsia"/>
          <w:szCs w:val="32"/>
        </w:rPr>
        <w:t>健康劳动者，发展高质量</w:t>
      </w:r>
    </w:p>
    <w:p w14:paraId="4F6D0010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13.</w:t>
      </w:r>
      <w:r>
        <w:rPr>
          <w:rFonts w:ascii="仿宋_GB2312" w:eastAsia="仿宋_GB2312" w:hAnsi="仿宋_GB2312" w:cs="仿宋_GB2312" w:hint="eastAsia"/>
          <w:szCs w:val="32"/>
        </w:rPr>
        <w:t>奋进健康中国新征程，建功职业健康新时代</w:t>
      </w:r>
    </w:p>
    <w:p w14:paraId="23A83F34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14.</w:t>
      </w:r>
      <w:r>
        <w:rPr>
          <w:rFonts w:ascii="仿宋_GB2312" w:eastAsia="仿宋_GB2312" w:hAnsi="仿宋_GB2312" w:cs="仿宋_GB2312" w:hint="eastAsia"/>
          <w:szCs w:val="32"/>
        </w:rPr>
        <w:t>以劳动者健康为中心，构建职业健康新格局</w:t>
      </w:r>
    </w:p>
    <w:p w14:paraId="088D7C1F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15.</w:t>
      </w:r>
      <w:r>
        <w:rPr>
          <w:rFonts w:ascii="仿宋_GB2312" w:eastAsia="仿宋_GB2312" w:hAnsi="仿宋_GB2312" w:cs="仿宋_GB2312" w:hint="eastAsia"/>
          <w:szCs w:val="32"/>
        </w:rPr>
        <w:t>职业健康，生命至上，依法防治，初心不忘</w:t>
      </w:r>
    </w:p>
    <w:p w14:paraId="36DF56A7" w14:textId="77777777" w:rsidR="00ED58E3" w:rsidRDefault="003405F4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  <w:lang w:val="en"/>
        </w:rPr>
        <w:t>16.</w:t>
      </w:r>
      <w:r>
        <w:rPr>
          <w:rFonts w:ascii="仿宋_GB2312" w:eastAsia="仿宋_GB2312" w:hAnsi="仿宋_GB2312" w:cs="仿宋_GB2312" w:hint="eastAsia"/>
          <w:szCs w:val="32"/>
        </w:rPr>
        <w:t>加强工伤预防，促进</w:t>
      </w:r>
      <w:r>
        <w:rPr>
          <w:rFonts w:ascii="仿宋_GB2312" w:eastAsia="仿宋_GB2312" w:hAnsi="仿宋_GB2312" w:cs="仿宋_GB2312" w:hint="eastAsia"/>
          <w:szCs w:val="32"/>
        </w:rPr>
        <w:t>职业健康</w:t>
      </w:r>
    </w:p>
    <w:p w14:paraId="310C10A6" w14:textId="77777777" w:rsidR="00ED58E3" w:rsidRDefault="00ED58E3">
      <w:pPr>
        <w:pStyle w:val="1"/>
        <w:widowControl/>
        <w:adjustRightInd w:val="0"/>
        <w:snapToGrid w:val="0"/>
        <w:spacing w:line="600" w:lineRule="exact"/>
        <w:ind w:leftChars="200" w:left="632" w:firstLineChars="0" w:firstLine="0"/>
        <w:rPr>
          <w:rFonts w:ascii="仿宋_GB2312" w:eastAsia="仿宋_GB2312" w:hAnsi="仿宋_GB2312" w:cs="仿宋_GB2312"/>
          <w:szCs w:val="32"/>
          <w:lang w:val="en"/>
        </w:rPr>
        <w:sectPr w:rsidR="00ED58E3">
          <w:footerReference w:type="default" r:id="rId11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AndChars" w:linePitch="579" w:charSpace="-842"/>
        </w:sectPr>
      </w:pPr>
    </w:p>
    <w:p w14:paraId="36E76AD3" w14:textId="77777777" w:rsidR="00ED58E3" w:rsidRDefault="003405F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3</w:t>
      </w:r>
    </w:p>
    <w:p w14:paraId="66F9F52B" w14:textId="77777777" w:rsidR="00ED58E3" w:rsidRDefault="00ED58E3">
      <w:pPr>
        <w:rPr>
          <w:rFonts w:ascii="黑体" w:eastAsia="黑体" w:hAnsi="黑体" w:cs="黑体"/>
        </w:rPr>
      </w:pPr>
    </w:p>
    <w:p w14:paraId="1E3F6EA1" w14:textId="77777777" w:rsidR="00ED58E3" w:rsidRDefault="003405F4">
      <w:pPr>
        <w:spacing w:line="640" w:lineRule="exact"/>
        <w:jc w:val="center"/>
        <w:rPr>
          <w:rFonts w:ascii="黑体" w:eastAsia="黑体" w:hAnsi="黑体" w:cs="黑体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年《职业病防治法》宣传周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海报</w:t>
      </w:r>
    </w:p>
    <w:p w14:paraId="0283E192" w14:textId="77777777" w:rsidR="00ED58E3" w:rsidRDefault="00ED58E3">
      <w:pPr>
        <w:jc w:val="center"/>
        <w:rPr>
          <w:rFonts w:ascii="黑体" w:eastAsia="黑体" w:hAnsi="黑体" w:cs="黑体"/>
        </w:rPr>
      </w:pPr>
    </w:p>
    <w:p w14:paraId="187151AB" w14:textId="77777777" w:rsidR="00ED58E3" w:rsidRDefault="003405F4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noProof/>
        </w:rPr>
        <w:drawing>
          <wp:inline distT="0" distB="0" distL="114300" distR="114300" wp14:anchorId="5DBDE1FB" wp14:editId="58933FC9">
            <wp:extent cx="4238625" cy="5845810"/>
            <wp:effectExtent l="0" t="0" r="9525" b="2540"/>
            <wp:docPr id="2" name="图片 2" descr="eab79b2af5895ab3fb26cfc839fbd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b79b2af5895ab3fb26cfc839fbda71"/>
                    <pic:cNvPicPr>
                      <a:picLocks noChangeAspect="1"/>
                    </pic:cNvPicPr>
                  </pic:nvPicPr>
                  <pic:blipFill>
                    <a:blip r:embed="rId12"/>
                    <a:srcRect t="82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8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6C65E" w14:textId="77777777" w:rsidR="00ED58E3" w:rsidRDefault="00ED58E3">
      <w:pPr>
        <w:rPr>
          <w:rFonts w:ascii="黑体" w:eastAsia="黑体" w:hAnsi="黑体" w:cs="黑体"/>
        </w:rPr>
        <w:sectPr w:rsidR="00ED58E3"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AndChars" w:linePitch="579" w:charSpace="-842"/>
        </w:sectPr>
      </w:pPr>
    </w:p>
    <w:p w14:paraId="7204EC4C" w14:textId="77777777" w:rsidR="00ED58E3" w:rsidRDefault="003405F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4</w:t>
      </w:r>
    </w:p>
    <w:p w14:paraId="41EA0BE2" w14:textId="77777777" w:rsidR="00ED58E3" w:rsidRDefault="003405F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年《职业病防治法》宣传周活动情况统计表</w:t>
      </w:r>
    </w:p>
    <w:p w14:paraId="4AD6A2B6" w14:textId="77777777" w:rsidR="00ED58E3" w:rsidRDefault="003405F4">
      <w:pPr>
        <w:widowControl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填报单位：（单位盖章）</w:t>
      </w:r>
    </w:p>
    <w:tbl>
      <w:tblPr>
        <w:tblStyle w:val="a8"/>
        <w:tblW w:w="8992" w:type="dxa"/>
        <w:jc w:val="center"/>
        <w:tblLayout w:type="fixed"/>
        <w:tblLook w:val="04A0" w:firstRow="1" w:lastRow="0" w:firstColumn="1" w:lastColumn="0" w:noHBand="0" w:noVBand="1"/>
      </w:tblPr>
      <w:tblGrid>
        <w:gridCol w:w="4912"/>
        <w:gridCol w:w="1020"/>
        <w:gridCol w:w="1020"/>
        <w:gridCol w:w="1020"/>
        <w:gridCol w:w="1020"/>
      </w:tblGrid>
      <w:tr w:rsidR="00ED58E3" w14:paraId="3A338460" w14:textId="77777777">
        <w:trPr>
          <w:trHeight w:val="454"/>
          <w:jc w:val="center"/>
        </w:trPr>
        <w:tc>
          <w:tcPr>
            <w:tcW w:w="4912" w:type="dxa"/>
          </w:tcPr>
          <w:p w14:paraId="272CF024" w14:textId="77777777" w:rsidR="00ED58E3" w:rsidRDefault="003405F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形式（次数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人数）</w:t>
            </w:r>
          </w:p>
        </w:tc>
        <w:tc>
          <w:tcPr>
            <w:tcW w:w="1020" w:type="dxa"/>
          </w:tcPr>
          <w:p w14:paraId="02056E9F" w14:textId="77777777" w:rsidR="00ED58E3" w:rsidRDefault="003405F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020" w:type="dxa"/>
          </w:tcPr>
          <w:p w14:paraId="25717F90" w14:textId="77777777" w:rsidR="00ED58E3" w:rsidRDefault="003405F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市级</w:t>
            </w:r>
          </w:p>
        </w:tc>
        <w:tc>
          <w:tcPr>
            <w:tcW w:w="1020" w:type="dxa"/>
          </w:tcPr>
          <w:p w14:paraId="0E377AD4" w14:textId="77777777" w:rsidR="00ED58E3" w:rsidRDefault="003405F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区级</w:t>
            </w:r>
          </w:p>
        </w:tc>
        <w:tc>
          <w:tcPr>
            <w:tcW w:w="1020" w:type="dxa"/>
          </w:tcPr>
          <w:p w14:paraId="016FD463" w14:textId="77777777" w:rsidR="00ED58E3" w:rsidRDefault="003405F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ED58E3" w14:paraId="0ECE8D0D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656A295F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开展主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题宣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讲活动次数</w:t>
            </w:r>
          </w:p>
        </w:tc>
        <w:tc>
          <w:tcPr>
            <w:tcW w:w="1020" w:type="dxa"/>
            <w:vAlign w:val="center"/>
          </w:tcPr>
          <w:p w14:paraId="34C2064B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782A7D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702BC94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F0931F7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6D12475F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2505E7AB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开展宣传咨询活动次数</w:t>
            </w:r>
          </w:p>
        </w:tc>
        <w:tc>
          <w:tcPr>
            <w:tcW w:w="1020" w:type="dxa"/>
            <w:vAlign w:val="center"/>
          </w:tcPr>
          <w:p w14:paraId="6E954A95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05B308F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562D6A8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BD1DCD8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356676BA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7148FFEB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开展专题讲座（网络公开课）次数</w:t>
            </w:r>
          </w:p>
        </w:tc>
        <w:tc>
          <w:tcPr>
            <w:tcW w:w="1020" w:type="dxa"/>
            <w:vAlign w:val="center"/>
          </w:tcPr>
          <w:p w14:paraId="188ED6AE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ACE91E0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1BF0EDA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9A977D2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126A324A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36E58354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开展警示教育活动次数</w:t>
            </w:r>
          </w:p>
        </w:tc>
        <w:tc>
          <w:tcPr>
            <w:tcW w:w="1020" w:type="dxa"/>
            <w:vAlign w:val="center"/>
          </w:tcPr>
          <w:p w14:paraId="1DEC0B7A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381189F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A9A4250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EEB387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047DCF81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0F17F81C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印发宣传材料份数</w:t>
            </w:r>
          </w:p>
        </w:tc>
        <w:tc>
          <w:tcPr>
            <w:tcW w:w="1020" w:type="dxa"/>
            <w:vAlign w:val="center"/>
          </w:tcPr>
          <w:p w14:paraId="2595F8A1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57003A5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5488B89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B1DE242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290C9A83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698E2CF3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制作宣传视频份数</w:t>
            </w:r>
          </w:p>
        </w:tc>
        <w:tc>
          <w:tcPr>
            <w:tcW w:w="1020" w:type="dxa"/>
            <w:vAlign w:val="center"/>
          </w:tcPr>
          <w:p w14:paraId="0E5F631C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C69F42C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7C9355F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D113AE1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320C6F03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63906616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制作宣传标语份数</w:t>
            </w:r>
          </w:p>
        </w:tc>
        <w:tc>
          <w:tcPr>
            <w:tcW w:w="1020" w:type="dxa"/>
            <w:vAlign w:val="center"/>
          </w:tcPr>
          <w:p w14:paraId="35A9334F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2224F5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3F09AE1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0727558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724D4D27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220B88DA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出动宣传人员数</w:t>
            </w:r>
          </w:p>
        </w:tc>
        <w:tc>
          <w:tcPr>
            <w:tcW w:w="1020" w:type="dxa"/>
            <w:vAlign w:val="center"/>
          </w:tcPr>
          <w:p w14:paraId="2F8DE6F7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1E26E6A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6B2CCCD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467845A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634A889C" w14:textId="77777777">
        <w:trPr>
          <w:trHeight w:val="454"/>
          <w:jc w:val="center"/>
        </w:trPr>
        <w:tc>
          <w:tcPr>
            <w:tcW w:w="4912" w:type="dxa"/>
            <w:vAlign w:val="center"/>
          </w:tcPr>
          <w:p w14:paraId="1A95D6EB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众人数</w:t>
            </w:r>
          </w:p>
        </w:tc>
        <w:tc>
          <w:tcPr>
            <w:tcW w:w="1020" w:type="dxa"/>
            <w:vAlign w:val="center"/>
          </w:tcPr>
          <w:p w14:paraId="0162B1B1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2478F3E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E4F235A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D0C133A" w14:textId="77777777" w:rsidR="00ED58E3" w:rsidRDefault="00ED58E3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58E3" w14:paraId="508F56AF" w14:textId="77777777">
        <w:trPr>
          <w:trHeight w:val="1002"/>
          <w:jc w:val="center"/>
        </w:trPr>
        <w:tc>
          <w:tcPr>
            <w:tcW w:w="8992" w:type="dxa"/>
            <w:gridSpan w:val="5"/>
          </w:tcPr>
          <w:p w14:paraId="3D67C222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特色活动：（可另附页）</w:t>
            </w:r>
          </w:p>
        </w:tc>
      </w:tr>
      <w:tr w:rsidR="00ED58E3" w14:paraId="05EEF5BB" w14:textId="77777777">
        <w:trPr>
          <w:trHeight w:val="1210"/>
          <w:jc w:val="center"/>
        </w:trPr>
        <w:tc>
          <w:tcPr>
            <w:tcW w:w="8992" w:type="dxa"/>
            <w:gridSpan w:val="5"/>
          </w:tcPr>
          <w:p w14:paraId="25FD6A97" w14:textId="77777777" w:rsidR="00ED58E3" w:rsidRDefault="003405F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对宣传工作的意见和建议：（可另附页）</w:t>
            </w:r>
          </w:p>
        </w:tc>
      </w:tr>
    </w:tbl>
    <w:p w14:paraId="3B55B65D" w14:textId="77777777" w:rsidR="00ED58E3" w:rsidRDefault="003405F4">
      <w:pPr>
        <w:widowControl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填表人：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联系方式：</w:t>
      </w:r>
    </w:p>
    <w:p w14:paraId="6241E6CC" w14:textId="77777777" w:rsidR="00ED58E3" w:rsidRDefault="003405F4">
      <w:pPr>
        <w:widowControl/>
        <w:spacing w:line="500" w:lineRule="exact"/>
        <w:ind w:firstLineChars="148" w:firstLine="349"/>
        <w:jc w:val="left"/>
      </w:pPr>
      <w:r>
        <w:rPr>
          <w:rFonts w:eastAsia="仿宋_GB2312" w:hint="eastAsia"/>
          <w:kern w:val="0"/>
          <w:sz w:val="24"/>
          <w:szCs w:val="24"/>
          <w:lang w:val="zh-CN"/>
        </w:rPr>
        <w:t>注：请各地区积极报送</w:t>
      </w:r>
      <w:r>
        <w:rPr>
          <w:rFonts w:eastAsia="仿宋_GB2312" w:hint="eastAsia"/>
          <w:kern w:val="0"/>
          <w:sz w:val="24"/>
          <w:szCs w:val="24"/>
          <w:lang w:val="zh-CN"/>
        </w:rPr>
        <w:t>202</w:t>
      </w:r>
      <w:r>
        <w:rPr>
          <w:rFonts w:eastAsia="仿宋_GB2312" w:hint="eastAsia"/>
          <w:kern w:val="0"/>
          <w:sz w:val="24"/>
          <w:szCs w:val="24"/>
        </w:rPr>
        <w:t>2</w:t>
      </w:r>
      <w:r>
        <w:rPr>
          <w:rFonts w:eastAsia="仿宋_GB2312" w:hint="eastAsia"/>
          <w:kern w:val="0"/>
          <w:sz w:val="24"/>
          <w:szCs w:val="24"/>
          <w:lang w:val="zh-CN"/>
        </w:rPr>
        <w:t>年职业健康工作图片视频素材，内容包括活动现场照片、媒体报道、督导调研等，视频素材应不少于</w:t>
      </w:r>
      <w:r>
        <w:rPr>
          <w:rFonts w:eastAsia="仿宋_GB2312" w:hint="eastAsia"/>
          <w:kern w:val="0"/>
          <w:sz w:val="24"/>
          <w:szCs w:val="24"/>
          <w:lang w:val="zh-CN"/>
        </w:rPr>
        <w:t>1</w:t>
      </w:r>
      <w:r>
        <w:rPr>
          <w:rFonts w:eastAsia="仿宋_GB2312" w:hint="eastAsia"/>
          <w:kern w:val="0"/>
          <w:sz w:val="24"/>
          <w:szCs w:val="24"/>
          <w:lang w:val="zh-CN"/>
        </w:rPr>
        <w:t>条，图片素材应不少于</w:t>
      </w:r>
      <w:r>
        <w:rPr>
          <w:rFonts w:eastAsia="仿宋_GB2312" w:hint="eastAsia"/>
          <w:kern w:val="0"/>
          <w:sz w:val="24"/>
          <w:szCs w:val="24"/>
          <w:lang w:val="zh-CN"/>
        </w:rPr>
        <w:t>5</w:t>
      </w:r>
      <w:r>
        <w:rPr>
          <w:rFonts w:eastAsia="仿宋_GB2312" w:hint="eastAsia"/>
          <w:kern w:val="0"/>
          <w:sz w:val="24"/>
          <w:szCs w:val="24"/>
          <w:lang w:val="zh-CN"/>
        </w:rPr>
        <w:t>张。所有素材压缩为一个压缩包，以单位名称命名。其中：图片分辨率应大于</w:t>
      </w:r>
      <w:r>
        <w:rPr>
          <w:rFonts w:eastAsia="仿宋_GB2312" w:hint="eastAsia"/>
          <w:kern w:val="0"/>
          <w:sz w:val="24"/>
          <w:szCs w:val="24"/>
          <w:lang w:val="zh-CN"/>
        </w:rPr>
        <w:t>1600*900</w:t>
      </w:r>
      <w:r>
        <w:rPr>
          <w:rFonts w:eastAsia="仿宋_GB2312" w:hint="eastAsia"/>
          <w:kern w:val="0"/>
          <w:sz w:val="24"/>
          <w:szCs w:val="24"/>
          <w:lang w:val="zh-CN"/>
        </w:rPr>
        <w:t>，以“时</w:t>
      </w:r>
      <w:r>
        <w:rPr>
          <w:rFonts w:eastAsia="仿宋_GB2312" w:hint="eastAsia"/>
          <w:kern w:val="0"/>
          <w:sz w:val="24"/>
          <w:szCs w:val="24"/>
          <w:lang w:val="zh-CN"/>
        </w:rPr>
        <w:lastRenderedPageBreak/>
        <w:t>间</w:t>
      </w:r>
      <w:r>
        <w:rPr>
          <w:rFonts w:eastAsia="仿宋_GB2312" w:hint="eastAsia"/>
          <w:kern w:val="0"/>
          <w:sz w:val="24"/>
          <w:szCs w:val="24"/>
          <w:lang w:val="zh-CN"/>
        </w:rPr>
        <w:t>+</w:t>
      </w:r>
      <w:r>
        <w:rPr>
          <w:rFonts w:eastAsia="仿宋_GB2312" w:hint="eastAsia"/>
          <w:kern w:val="0"/>
          <w:sz w:val="24"/>
          <w:szCs w:val="24"/>
          <w:lang w:val="zh-CN"/>
        </w:rPr>
        <w:t>地点</w:t>
      </w:r>
      <w:r>
        <w:rPr>
          <w:rFonts w:eastAsia="仿宋_GB2312" w:hint="eastAsia"/>
          <w:kern w:val="0"/>
          <w:sz w:val="24"/>
          <w:szCs w:val="24"/>
          <w:lang w:val="zh-CN"/>
        </w:rPr>
        <w:t>+</w:t>
      </w:r>
      <w:r>
        <w:rPr>
          <w:rFonts w:eastAsia="仿宋_GB2312" w:hint="eastAsia"/>
          <w:kern w:val="0"/>
          <w:sz w:val="24"/>
          <w:szCs w:val="24"/>
          <w:lang w:val="zh-CN"/>
        </w:rPr>
        <w:t>事件”命名；视频除历史素材外，分辨率应为</w:t>
      </w:r>
      <w:r>
        <w:rPr>
          <w:rFonts w:eastAsia="仿宋_GB2312" w:hint="eastAsia"/>
          <w:kern w:val="0"/>
          <w:sz w:val="24"/>
          <w:szCs w:val="24"/>
          <w:lang w:val="zh-CN"/>
        </w:rPr>
        <w:t>720p</w:t>
      </w:r>
      <w:r>
        <w:rPr>
          <w:rFonts w:eastAsia="仿宋_GB2312" w:hint="eastAsia"/>
          <w:kern w:val="0"/>
          <w:sz w:val="24"/>
          <w:szCs w:val="24"/>
          <w:lang w:val="zh-CN"/>
        </w:rPr>
        <w:t>以上，以“时间</w:t>
      </w:r>
      <w:r>
        <w:rPr>
          <w:rFonts w:eastAsia="仿宋_GB2312" w:hint="eastAsia"/>
          <w:kern w:val="0"/>
          <w:sz w:val="24"/>
          <w:szCs w:val="24"/>
          <w:lang w:val="zh-CN"/>
        </w:rPr>
        <w:t>+</w:t>
      </w:r>
      <w:r>
        <w:rPr>
          <w:rFonts w:eastAsia="仿宋_GB2312" w:hint="eastAsia"/>
          <w:kern w:val="0"/>
          <w:sz w:val="24"/>
          <w:szCs w:val="24"/>
          <w:lang w:val="zh-CN"/>
        </w:rPr>
        <w:t>地点</w:t>
      </w:r>
      <w:r>
        <w:rPr>
          <w:rFonts w:eastAsia="仿宋_GB2312" w:hint="eastAsia"/>
          <w:kern w:val="0"/>
          <w:sz w:val="24"/>
          <w:szCs w:val="24"/>
          <w:lang w:val="zh-CN"/>
        </w:rPr>
        <w:t>+</w:t>
      </w:r>
      <w:r>
        <w:rPr>
          <w:rFonts w:eastAsia="仿宋_GB2312" w:hint="eastAsia"/>
          <w:kern w:val="0"/>
          <w:sz w:val="24"/>
          <w:szCs w:val="24"/>
          <w:lang w:val="zh-CN"/>
        </w:rPr>
        <w:t>事件</w:t>
      </w:r>
      <w:r>
        <w:rPr>
          <w:rFonts w:eastAsia="仿宋_GB2312" w:hint="eastAsia"/>
          <w:kern w:val="0"/>
          <w:sz w:val="24"/>
          <w:szCs w:val="24"/>
          <w:lang w:val="zh-CN"/>
        </w:rPr>
        <w:t>+</w:t>
      </w:r>
      <w:r>
        <w:rPr>
          <w:rFonts w:eastAsia="仿宋_GB2312" w:hint="eastAsia"/>
          <w:kern w:val="0"/>
          <w:sz w:val="24"/>
          <w:szCs w:val="24"/>
          <w:lang w:val="zh-CN"/>
        </w:rPr>
        <w:t>播出栏目”命名</w:t>
      </w:r>
      <w:r>
        <w:rPr>
          <w:rFonts w:eastAsia="仿宋_GB2312" w:hint="eastAsia"/>
          <w:kern w:val="0"/>
          <w:sz w:val="24"/>
          <w:szCs w:val="24"/>
          <w:lang w:val="zh-CN"/>
        </w:rPr>
        <w:t>。</w:t>
      </w:r>
      <w:r>
        <w:rPr>
          <w:rFonts w:hint="eastAsia"/>
        </w:rPr>
        <w:br w:type="page"/>
      </w:r>
    </w:p>
    <w:p w14:paraId="15401839" w14:textId="77777777" w:rsidR="00ED58E3" w:rsidRDefault="003405F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5</w:t>
      </w:r>
    </w:p>
    <w:p w14:paraId="56EDFCB3" w14:textId="77777777" w:rsidR="00ED58E3" w:rsidRDefault="00ED58E3">
      <w:pPr>
        <w:pStyle w:val="a4"/>
        <w:ind w:firstLine="632"/>
      </w:pPr>
    </w:p>
    <w:p w14:paraId="03044F80" w14:textId="77777777" w:rsidR="00ED58E3" w:rsidRDefault="003405F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年《职业病防治法》宣传周活动总结提纲</w:t>
      </w:r>
    </w:p>
    <w:p w14:paraId="576A8743" w14:textId="77777777" w:rsidR="00ED58E3" w:rsidRDefault="00ED58E3">
      <w:pPr>
        <w:widowControl/>
        <w:ind w:firstLineChars="200" w:firstLine="632"/>
        <w:jc w:val="left"/>
        <w:rPr>
          <w:rFonts w:ascii="方正黑体_GBK" w:eastAsia="方正黑体_GBK" w:hAnsi="方正黑体_GBK" w:cs="方正黑体_GBK"/>
        </w:rPr>
      </w:pPr>
    </w:p>
    <w:p w14:paraId="2CD4042A" w14:textId="77777777" w:rsidR="00ED58E3" w:rsidRDefault="003405F4">
      <w:pPr>
        <w:widowControl/>
        <w:ind w:firstLineChars="200" w:firstLine="632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一、总结提纲</w:t>
      </w:r>
    </w:p>
    <w:p w14:paraId="5CB07C2C" w14:textId="77777777" w:rsidR="00ED58E3" w:rsidRDefault="003405F4">
      <w:pPr>
        <w:widowControl/>
        <w:ind w:firstLineChars="200" w:firstLine="632"/>
        <w:jc w:val="left"/>
        <w:rPr>
          <w:rFonts w:eastAsia="仿宋_GB2312"/>
        </w:rPr>
      </w:pPr>
      <w:r>
        <w:rPr>
          <w:rFonts w:eastAsia="仿宋_GB2312" w:hint="eastAsia"/>
        </w:rPr>
        <w:t>（一）工作部署落实情况。</w:t>
      </w:r>
    </w:p>
    <w:p w14:paraId="799897AC" w14:textId="77777777" w:rsidR="00ED58E3" w:rsidRDefault="003405F4">
      <w:pPr>
        <w:widowControl/>
        <w:ind w:firstLineChars="200" w:firstLine="632"/>
        <w:jc w:val="left"/>
        <w:rPr>
          <w:rFonts w:eastAsia="仿宋_GB2312"/>
        </w:rPr>
      </w:pPr>
      <w:r>
        <w:rPr>
          <w:rFonts w:eastAsia="仿宋_GB2312" w:hint="eastAsia"/>
        </w:rPr>
        <w:t>（二）各项活动开展情况。详细描述各项活动的组织开展情况，以及各项活动所取得的效果。活动要有数据支撑，进行必要的数据统计，如参加人数、</w:t>
      </w:r>
      <w:proofErr w:type="gramStart"/>
      <w:r>
        <w:rPr>
          <w:rFonts w:eastAsia="仿宋_GB2312" w:hint="eastAsia"/>
        </w:rPr>
        <w:t>宣传受</w:t>
      </w:r>
      <w:proofErr w:type="gramEnd"/>
      <w:r>
        <w:rPr>
          <w:rFonts w:eastAsia="仿宋_GB2312" w:hint="eastAsia"/>
        </w:rPr>
        <w:t>众人数、发放资料数、报道数等。</w:t>
      </w:r>
    </w:p>
    <w:p w14:paraId="6DFF8CB4" w14:textId="77777777" w:rsidR="00ED58E3" w:rsidRDefault="003405F4">
      <w:pPr>
        <w:pStyle w:val="a4"/>
        <w:ind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（三）活动开展所取得的经验及存在的不足。</w:t>
      </w:r>
    </w:p>
    <w:p w14:paraId="7FC5D2E4" w14:textId="77777777" w:rsidR="00ED58E3" w:rsidRDefault="003405F4">
      <w:pPr>
        <w:widowControl/>
        <w:ind w:firstLineChars="200" w:firstLine="632"/>
        <w:jc w:val="left"/>
        <w:rPr>
          <w:rFonts w:eastAsia="仿宋_GB2312"/>
        </w:rPr>
      </w:pPr>
      <w:r>
        <w:rPr>
          <w:rFonts w:eastAsia="仿宋_GB2312" w:hint="eastAsia"/>
        </w:rPr>
        <w:t>（四）下一步工作打算。</w:t>
      </w:r>
    </w:p>
    <w:p w14:paraId="63387E9F" w14:textId="77777777" w:rsidR="00ED58E3" w:rsidRDefault="003405F4">
      <w:pPr>
        <w:widowControl/>
        <w:ind w:firstLineChars="200" w:firstLine="632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二、其他要求</w:t>
      </w:r>
    </w:p>
    <w:p w14:paraId="095E751A" w14:textId="77777777" w:rsidR="00ED58E3" w:rsidRDefault="003405F4">
      <w:pPr>
        <w:widowControl/>
        <w:ind w:firstLineChars="200" w:firstLine="632"/>
        <w:jc w:val="left"/>
        <w:rPr>
          <w:rFonts w:eastAsia="仿宋_GB2312"/>
        </w:rPr>
      </w:pPr>
      <w:r>
        <w:rPr>
          <w:rFonts w:eastAsia="仿宋_GB2312" w:hint="eastAsia"/>
        </w:rPr>
        <w:t>（一）要求文字简明扼要，具有较强可读性。</w:t>
      </w:r>
    </w:p>
    <w:p w14:paraId="07BF2A09" w14:textId="77777777" w:rsidR="00ED58E3" w:rsidRDefault="003405F4">
      <w:pPr>
        <w:widowControl/>
        <w:ind w:firstLineChars="200" w:firstLine="632"/>
        <w:jc w:val="left"/>
        <w:rPr>
          <w:rFonts w:eastAsia="仿宋_GB2312"/>
        </w:rPr>
      </w:pPr>
      <w:r>
        <w:rPr>
          <w:rFonts w:eastAsia="仿宋_GB2312" w:hint="eastAsia"/>
        </w:rPr>
        <w:t>逻辑性强，重点突出，条理清楚，突出亮点。提纲仅作为参考，各部分内容的标题可自取。</w:t>
      </w:r>
    </w:p>
    <w:p w14:paraId="4BBC489A" w14:textId="77777777" w:rsidR="00ED58E3" w:rsidRDefault="003405F4">
      <w:pPr>
        <w:widowControl/>
        <w:ind w:firstLineChars="200" w:firstLine="632"/>
        <w:jc w:val="left"/>
        <w:rPr>
          <w:rFonts w:eastAsia="仿宋_GB2312"/>
        </w:rPr>
      </w:pPr>
      <w:r>
        <w:rPr>
          <w:rFonts w:eastAsia="仿宋_GB2312" w:hint="eastAsia"/>
        </w:rPr>
        <w:t>（二）提供的照片大小不低于</w:t>
      </w:r>
      <w:r>
        <w:rPr>
          <w:rFonts w:eastAsia="仿宋_GB2312" w:hint="eastAsia"/>
        </w:rPr>
        <w:t>2M</w:t>
      </w:r>
      <w:r>
        <w:rPr>
          <w:rFonts w:eastAsia="仿宋_GB2312" w:hint="eastAsia"/>
        </w:rPr>
        <w:t>。</w:t>
      </w:r>
    </w:p>
    <w:p w14:paraId="113A11AB" w14:textId="77777777" w:rsidR="00ED58E3" w:rsidRDefault="00ED58E3">
      <w:pPr>
        <w:pStyle w:val="a4"/>
        <w:ind w:firstLine="632"/>
      </w:pPr>
    </w:p>
    <w:sectPr w:rsidR="00ED58E3"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4497" w14:textId="77777777" w:rsidR="003405F4" w:rsidRDefault="003405F4">
      <w:r>
        <w:separator/>
      </w:r>
    </w:p>
  </w:endnote>
  <w:endnote w:type="continuationSeparator" w:id="0">
    <w:p w14:paraId="70076B2B" w14:textId="77777777" w:rsidR="003405F4" w:rsidRDefault="003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B23E" w14:textId="77777777" w:rsidR="00ED58E3" w:rsidRDefault="003405F4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74BBA4" wp14:editId="4B4F64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C43918" w14:textId="77777777" w:rsidR="00ED58E3" w:rsidRDefault="003405F4">
                          <w:pPr>
                            <w:pStyle w:val="a5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A74BBA4"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" filled="f" stroked="f">
              <v:textbox style="mso-fit-shape-to-text:t" inset="0,0,0,0">
                <w:txbxContent>
                  <w:p w14:paraId="3FC43918" w14:textId="77777777" w:rsidR="00ED58E3" w:rsidRDefault="003405F4">
                    <w:pPr>
                      <w:pStyle w:val="a5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24ED" w14:textId="77777777" w:rsidR="003405F4" w:rsidRDefault="003405F4">
      <w:r>
        <w:separator/>
      </w:r>
    </w:p>
  </w:footnote>
  <w:footnote w:type="continuationSeparator" w:id="0">
    <w:p w14:paraId="1453C956" w14:textId="77777777" w:rsidR="003405F4" w:rsidRDefault="00340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E3"/>
    <w:rsid w:val="DEE77989"/>
    <w:rsid w:val="EA2F02AD"/>
    <w:rsid w:val="FFFFA2BA"/>
    <w:rsid w:val="003405F4"/>
    <w:rsid w:val="00ED58E3"/>
    <w:rsid w:val="00FD1B66"/>
    <w:rsid w:val="01A93363"/>
    <w:rsid w:val="0FAA2227"/>
    <w:rsid w:val="1483178D"/>
    <w:rsid w:val="16C452F1"/>
    <w:rsid w:val="18282278"/>
    <w:rsid w:val="198536D4"/>
    <w:rsid w:val="2BD3D5B7"/>
    <w:rsid w:val="2FAD162A"/>
    <w:rsid w:val="37DE0530"/>
    <w:rsid w:val="3D4F5881"/>
    <w:rsid w:val="3FFD97CD"/>
    <w:rsid w:val="427A3FFA"/>
    <w:rsid w:val="447B09E5"/>
    <w:rsid w:val="4E7F31A5"/>
    <w:rsid w:val="4FE34654"/>
    <w:rsid w:val="532F0107"/>
    <w:rsid w:val="5A0A63CE"/>
    <w:rsid w:val="60331D2C"/>
    <w:rsid w:val="66CD6254"/>
    <w:rsid w:val="679D0477"/>
    <w:rsid w:val="694566E3"/>
    <w:rsid w:val="6EE22C1D"/>
    <w:rsid w:val="781C6D26"/>
    <w:rsid w:val="7A15560D"/>
    <w:rsid w:val="7B7FEA33"/>
    <w:rsid w:val="8FFF9AC0"/>
    <w:rsid w:val="98FE5011"/>
    <w:rsid w:val="9BFF87FD"/>
    <w:rsid w:val="BAF5B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F84655"/>
  <w15:docId w15:val="{B5D05B44-759A-4CD6-BB1E-2A6F021B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Message Header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hAnsi="仿宋_GB2312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Times New Roman"/>
      <w:sz w:val="24"/>
      <w:szCs w:val="24"/>
    </w:rPr>
  </w:style>
  <w:style w:type="paragraph" w:styleId="a4">
    <w:name w:val="Normal Indent"/>
    <w:basedOn w:val="a"/>
    <w:uiPriority w:val="99"/>
    <w:qFormat/>
    <w:pPr>
      <w:ind w:firstLineChars="200" w:firstLine="420"/>
    </w:pPr>
    <w:rPr>
      <w:rFonts w:ascii="Calibri" w:eastAsia="仿宋_GB2312" w:hAnsi="Calibri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qFormat/>
    <w:pPr>
      <w:widowControl w:val="0"/>
      <w:ind w:firstLineChars="200" w:firstLine="420"/>
      <w:jc w:val="both"/>
    </w:pPr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省卫生健康委 省民政厅 省人力资源社会保障厅 省医保局 省总工会关于开展2022年《职业病防治法》宣传周活动的通知</dc:title>
  <dc:creator>僴咺</dc:creator>
  <cp:lastModifiedBy>yang wenyin</cp:lastModifiedBy>
  <cp:revision>2</cp:revision>
  <cp:lastPrinted>2022-04-19T10:34:00Z</cp:lastPrinted>
  <dcterms:created xsi:type="dcterms:W3CDTF">2022-04-22T09:01:00Z</dcterms:created>
  <dcterms:modified xsi:type="dcterms:W3CDTF">2022-04-22T09:01:00Z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KSOSaveFontToCloudKey">
    <vt:lpwstr>236938990_cloud</vt:lpwstr>
  </property>
  <property fmtid="{D5CDD505-2E9C-101B-9397-08002B2CF9AE}" pid="4" name="ICV">
    <vt:lpwstr>D21EDE72D9964590917DFB2D99004F88</vt:lpwstr>
  </property>
</Properties>
</file>